
<file path=[Content_Types].xml><?xml version="1.0" encoding="utf-8"?>
<Types xmlns="http://schemas.openxmlformats.org/package/2006/content-types">
  <Default Extension="emf" ContentType="image/x-emf"/>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0B7810" w:rsidRPr="00657009" w:rsidRDefault="000B7810" w:rsidP="00657009">
      <w:pPr>
        <w:spacing w:after="0" w:line="240" w:lineRule="auto"/>
        <w:jc w:val="center"/>
        <w:rPr>
          <w:rFonts w:ascii="Times New Roman" w:hAnsi="Times New Roman"/>
          <w:sz w:val="24"/>
          <w:szCs w:val="24"/>
        </w:rPr>
      </w:pPr>
    </w:p>
    <w:p w:rsidR="000B7810" w:rsidRPr="00657009" w:rsidRDefault="000B7810" w:rsidP="00657009">
      <w:pPr>
        <w:spacing w:after="0" w:line="240" w:lineRule="auto"/>
        <w:jc w:val="center"/>
        <w:rPr>
          <w:rFonts w:ascii="Times New Roman" w:hAnsi="Times New Roman"/>
          <w:sz w:val="24"/>
          <w:szCs w:val="24"/>
        </w:rPr>
      </w:pPr>
    </w:p>
    <w:p w:rsidR="008E076C" w:rsidRPr="00657009" w:rsidRDefault="008E076C" w:rsidP="00657009">
      <w:pPr>
        <w:spacing w:after="0" w:line="240" w:lineRule="auto"/>
        <w:jc w:val="center"/>
        <w:rPr>
          <w:rFonts w:ascii="Times New Roman" w:hAnsi="Times New Roman"/>
          <w:sz w:val="24"/>
          <w:szCs w:val="24"/>
        </w:rPr>
      </w:pPr>
    </w:p>
    <w:p w:rsidR="007D1E76" w:rsidRPr="00E74967" w:rsidRDefault="006C359E" w:rsidP="007D1E76">
      <w:pPr>
        <w:spacing w:after="0" w:line="240" w:lineRule="auto"/>
        <w:jc w:val="center"/>
        <w:rPr>
          <w:rFonts w:cs="Calibri"/>
          <w:b/>
          <w:sz w:val="28"/>
          <w:szCs w:val="28"/>
        </w:rPr>
      </w:pPr>
      <w:hyperlink r:id="rId8" w:history="1">
        <w:r w:rsidR="007D1E76" w:rsidRPr="00E74967">
          <w:rPr>
            <w:rStyle w:val="Hipervnculo"/>
            <w:rFonts w:cs="Calibri"/>
            <w:b/>
            <w:sz w:val="28"/>
            <w:szCs w:val="28"/>
          </w:rPr>
          <w:t>NOTAS DE GESTIÓN ADMINISTRATIVA</w:t>
        </w:r>
      </w:hyperlink>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Los Estados Financieros de los entes públicos, proveen de información financiera a los principales usuarios de la misma, al</w:t>
      </w:r>
      <w:r w:rsidR="00E00323" w:rsidRPr="00E74967">
        <w:rPr>
          <w:rFonts w:cs="Calibri"/>
        </w:rPr>
        <w:t xml:space="preserve"> Congreso y a los ciudadanos.</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El objetivo del presente documento es la revelación del contexto y de los aspectos económicos financieros más relevantes que influ</w:t>
      </w:r>
      <w:r w:rsidR="000A6CAA">
        <w:rPr>
          <w:rFonts w:cs="Calibri"/>
        </w:rPr>
        <w:t>yeron en las decisiones del peri</w:t>
      </w:r>
      <w:r w:rsidRPr="00E74967">
        <w:rPr>
          <w:rFonts w:cs="Calibri"/>
        </w:rPr>
        <w:t>odo, y que deberán ser considerados en la elaboración de los estados financieros para la mayor comprensión de los m</w:t>
      </w:r>
      <w:r w:rsidR="00E00323" w:rsidRPr="00E74967">
        <w:rPr>
          <w:rFonts w:cs="Calibri"/>
        </w:rPr>
        <w:t>ismos y sus particularidades.</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De esta manera, se informa y explica la respuesta del gobierno a las condiciones relacionadas con la información financiera de cada período de gestión; además, de exponer aquellas políticas que podrían afectar la toma de decisi</w:t>
      </w:r>
      <w:r w:rsidR="00E00323" w:rsidRPr="00E74967">
        <w:rPr>
          <w:rFonts w:cs="Calibri"/>
        </w:rPr>
        <w:t>ones en períodos posteriores.</w:t>
      </w:r>
    </w:p>
    <w:p w:rsidR="007D1E76" w:rsidRPr="00E74967" w:rsidRDefault="007D1E76" w:rsidP="007D1E76">
      <w:pPr>
        <w:pStyle w:val="Prrafodelista"/>
        <w:spacing w:after="0" w:line="240" w:lineRule="auto"/>
        <w:jc w:val="both"/>
        <w:rPr>
          <w:rFonts w:cs="Calibri"/>
        </w:rPr>
      </w:pPr>
    </w:p>
    <w:p w:rsidR="007D1E76" w:rsidRPr="00E74967" w:rsidRDefault="007D1E76" w:rsidP="007D1E76">
      <w:pPr>
        <w:pStyle w:val="Prrafodelista"/>
        <w:numPr>
          <w:ilvl w:val="0"/>
          <w:numId w:val="1"/>
        </w:numPr>
        <w:spacing w:after="0" w:line="240" w:lineRule="auto"/>
        <w:jc w:val="both"/>
        <w:rPr>
          <w:rFonts w:cs="Calibri"/>
        </w:rPr>
      </w:pPr>
      <w:r w:rsidRPr="00E74967">
        <w:rPr>
          <w:rFonts w:cs="Calibri"/>
        </w:rPr>
        <w:t>Las notas de gestión administrativa deben contener los siguientes puntos:</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1. Introducción:</w:t>
      </w:r>
    </w:p>
    <w:p w:rsidR="007D1E76" w:rsidRPr="00E74967" w:rsidRDefault="007D1E76" w:rsidP="007D1E76">
      <w:pPr>
        <w:spacing w:after="0" w:line="240" w:lineRule="auto"/>
        <w:jc w:val="both"/>
        <w:rPr>
          <w:rFonts w:cs="Calibri"/>
        </w:rPr>
      </w:pPr>
      <w:r w:rsidRPr="00E74967">
        <w:rPr>
          <w:rFonts w:cs="Calibri"/>
        </w:rPr>
        <w:t>Breve descripción de las actividades principales de la entidad.</w:t>
      </w:r>
    </w:p>
    <w:p w:rsidR="009E751D" w:rsidRPr="000B7810" w:rsidRDefault="009E751D" w:rsidP="009E751D">
      <w:pPr>
        <w:spacing w:after="0" w:line="240" w:lineRule="auto"/>
        <w:jc w:val="both"/>
        <w:rPr>
          <w:rFonts w:ascii="Times New Roman" w:hAnsi="Times New Roman"/>
          <w:sz w:val="24"/>
          <w:szCs w:val="24"/>
        </w:rPr>
      </w:pPr>
      <w:r>
        <w:rPr>
          <w:rFonts w:ascii="Times New Roman" w:hAnsi="Times New Roman"/>
          <w:b/>
          <w:sz w:val="24"/>
          <w:szCs w:val="24"/>
        </w:rPr>
        <w:t xml:space="preserve">Somos un Organismo Público Descentralizado de la Administración Municipal que brinda el servicio de agua potable, drenaje y alcantarillado para la ciudadanía del municipio de Uriangato, </w:t>
      </w:r>
      <w:proofErr w:type="spellStart"/>
      <w:r>
        <w:rPr>
          <w:rFonts w:ascii="Times New Roman" w:hAnsi="Times New Roman"/>
          <w:b/>
          <w:sz w:val="24"/>
          <w:szCs w:val="24"/>
        </w:rPr>
        <w:t>Gto</w:t>
      </w:r>
      <w:proofErr w:type="spellEnd"/>
      <w:r>
        <w:rPr>
          <w:rFonts w:ascii="Times New Roman" w:hAnsi="Times New Roman"/>
          <w:b/>
          <w:sz w:val="24"/>
          <w:szCs w:val="24"/>
        </w:rPr>
        <w:t xml:space="preserve">. </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2. Describir el pan</w:t>
      </w:r>
      <w:r w:rsidR="00E00323" w:rsidRPr="00E74967">
        <w:rPr>
          <w:rFonts w:cs="Calibri"/>
          <w:b/>
        </w:rPr>
        <w:t>orama Económico y Financiero:</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Se informará sobre las principales condiciones económico-financieras bajo las cuales el ente público estuvo operando; y las cuales influyeron en la toma de decisiones de la administración; tanto</w:t>
      </w:r>
      <w:r w:rsidR="00E00323" w:rsidRPr="00E74967">
        <w:rPr>
          <w:rFonts w:cs="Calibri"/>
        </w:rPr>
        <w:t xml:space="preserve"> a nivel local como federal.</w:t>
      </w:r>
    </w:p>
    <w:p w:rsidR="007D1E76" w:rsidRPr="009E751D" w:rsidRDefault="009E751D" w:rsidP="007D1E76">
      <w:pPr>
        <w:spacing w:after="0" w:line="240" w:lineRule="auto"/>
        <w:jc w:val="both"/>
        <w:rPr>
          <w:rFonts w:ascii="Times New Roman" w:hAnsi="Times New Roman"/>
          <w:b/>
        </w:rPr>
      </w:pPr>
      <w:r>
        <w:rPr>
          <w:rFonts w:ascii="Times New Roman" w:hAnsi="Times New Roman"/>
          <w:b/>
        </w:rPr>
        <w:t xml:space="preserve"> </w:t>
      </w:r>
      <w:r w:rsidRPr="009E751D">
        <w:rPr>
          <w:rFonts w:ascii="Times New Roman" w:hAnsi="Times New Roman"/>
          <w:b/>
        </w:rPr>
        <w:t xml:space="preserve"> </w:t>
      </w:r>
      <w:r>
        <w:rPr>
          <w:rFonts w:ascii="Times New Roman" w:hAnsi="Times New Roman"/>
          <w:b/>
        </w:rPr>
        <w:t>En este ejercicio 2016</w:t>
      </w:r>
      <w:r w:rsidRPr="00AB327E">
        <w:rPr>
          <w:rFonts w:ascii="Times New Roman" w:hAnsi="Times New Roman"/>
          <w:b/>
        </w:rPr>
        <w:t xml:space="preserve"> el panorama</w:t>
      </w:r>
      <w:r>
        <w:rPr>
          <w:rFonts w:ascii="Times New Roman" w:hAnsi="Times New Roman"/>
          <w:b/>
        </w:rPr>
        <w:t xml:space="preserve"> económico-financiero es</w:t>
      </w:r>
      <w:r w:rsidRPr="00AB327E">
        <w:rPr>
          <w:rFonts w:ascii="Times New Roman" w:hAnsi="Times New Roman"/>
          <w:b/>
        </w:rPr>
        <w:t xml:space="preserve"> más estable se continúa</w:t>
      </w:r>
      <w:r w:rsidRPr="00AB327E">
        <w:rPr>
          <w:rFonts w:cs="Calibri"/>
          <w:b/>
        </w:rPr>
        <w:t xml:space="preserve"> </w:t>
      </w:r>
      <w:r w:rsidRPr="00AB327E">
        <w:rPr>
          <w:rFonts w:ascii="Times New Roman" w:hAnsi="Times New Roman"/>
          <w:b/>
          <w:sz w:val="24"/>
          <w:szCs w:val="24"/>
        </w:rPr>
        <w:t>tomando como prioridad el pagar y avanzar en negociaciones con las cuentas por pagar  con proveedores, acreedores diversos e impuestos federales, con el objetivo principal es tener un sistema de agua potable con más liquidez y subsanar las deudas antes mencionadas.</w:t>
      </w:r>
      <w:r>
        <w:rPr>
          <w:rFonts w:ascii="Times New Roman" w:hAnsi="Times New Roman"/>
          <w:b/>
          <w:sz w:val="24"/>
          <w:szCs w:val="24"/>
        </w:rPr>
        <w:t xml:space="preserve"> </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3. Autoriza</w:t>
      </w:r>
      <w:r w:rsidR="00E00323" w:rsidRPr="00E74967">
        <w:rPr>
          <w:rFonts w:cs="Calibri"/>
          <w:b/>
        </w:rPr>
        <w:t>ción e Historia:</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Se informará sobre:</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a)</w:t>
      </w:r>
      <w:r w:rsidRPr="00E74967">
        <w:rPr>
          <w:rFonts w:cs="Calibri"/>
        </w:rPr>
        <w:t xml:space="preserve"> Fecha de creación del ente.</w:t>
      </w:r>
    </w:p>
    <w:p w:rsidR="009E751D" w:rsidRPr="00E74967" w:rsidRDefault="009E751D" w:rsidP="009E751D">
      <w:pPr>
        <w:spacing w:after="0" w:line="240" w:lineRule="auto"/>
        <w:jc w:val="both"/>
        <w:rPr>
          <w:rFonts w:cs="Calibri"/>
        </w:rPr>
      </w:pPr>
      <w:r w:rsidRPr="00FE3B7C">
        <w:rPr>
          <w:rFonts w:ascii="Times New Roman" w:hAnsi="Times New Roman"/>
          <w:b/>
          <w:sz w:val="24"/>
          <w:szCs w:val="24"/>
        </w:rPr>
        <w:t>La creación del Sistema Municipal de Agua Potable y Alcantarillado del Municipio de Uriangato</w:t>
      </w:r>
      <w:r>
        <w:rPr>
          <w:rFonts w:ascii="Times New Roman" w:hAnsi="Times New Roman"/>
          <w:b/>
          <w:sz w:val="24"/>
          <w:szCs w:val="24"/>
        </w:rPr>
        <w:t xml:space="preserve"> fue</w:t>
      </w:r>
      <w:r w:rsidRPr="00FE3B7C">
        <w:rPr>
          <w:rFonts w:ascii="Times New Roman" w:hAnsi="Times New Roman"/>
          <w:b/>
          <w:sz w:val="24"/>
          <w:szCs w:val="24"/>
        </w:rPr>
        <w:t xml:space="preserve"> el 01 de Febrero del 1986</w:t>
      </w:r>
      <w:r>
        <w:rPr>
          <w:rFonts w:ascii="Times New Roman" w:hAnsi="Times New Roman"/>
          <w:b/>
          <w:sz w:val="24"/>
          <w:szCs w:val="24"/>
        </w:rPr>
        <w:t>.</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b)</w:t>
      </w:r>
      <w:r w:rsidRPr="00E74967">
        <w:rPr>
          <w:rFonts w:cs="Calibri"/>
        </w:rPr>
        <w:t xml:space="preserve"> Principales cambios en su estructura (interna históricamente).</w:t>
      </w:r>
    </w:p>
    <w:p w:rsidR="009E751D" w:rsidRPr="009E5A47" w:rsidRDefault="007D1E76" w:rsidP="009E751D">
      <w:pPr>
        <w:spacing w:after="0" w:line="240" w:lineRule="auto"/>
        <w:jc w:val="both"/>
        <w:rPr>
          <w:rFonts w:ascii="Times New Roman" w:hAnsi="Times New Roman"/>
          <w:b/>
          <w:sz w:val="24"/>
          <w:szCs w:val="24"/>
        </w:rPr>
      </w:pPr>
      <w:r w:rsidRPr="00E74967">
        <w:rPr>
          <w:rFonts w:cs="Calibri"/>
        </w:rPr>
        <w:lastRenderedPageBreak/>
        <w:t>__</w:t>
      </w:r>
      <w:r w:rsidR="009E751D" w:rsidRPr="009E751D">
        <w:rPr>
          <w:rFonts w:ascii="Times New Roman" w:hAnsi="Times New Roman"/>
          <w:b/>
          <w:sz w:val="24"/>
          <w:szCs w:val="24"/>
        </w:rPr>
        <w:t xml:space="preserve"> </w:t>
      </w:r>
      <w:r w:rsidR="009E751D">
        <w:rPr>
          <w:rFonts w:ascii="Times New Roman" w:hAnsi="Times New Roman"/>
          <w:b/>
          <w:sz w:val="24"/>
          <w:szCs w:val="24"/>
        </w:rPr>
        <w:t xml:space="preserve">Cada trienio es cambiado el personal de confianza directivos del Sistema, el cual trae consigo en algunos casos un retroceso, ya que no hay continuidad con las obras que benefician a este y a la ciudadanía. </w:t>
      </w:r>
    </w:p>
    <w:p w:rsidR="007D1E76" w:rsidRPr="00E74967" w:rsidRDefault="007D1E76" w:rsidP="007D1E76">
      <w:pPr>
        <w:spacing w:after="0" w:line="240" w:lineRule="auto"/>
        <w:jc w:val="both"/>
        <w:rPr>
          <w:rFonts w:cs="Calibri"/>
        </w:rPr>
      </w:pPr>
      <w:r w:rsidRPr="00E74967">
        <w:rPr>
          <w:rFonts w:cs="Calibri"/>
        </w:rPr>
        <w:t>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 xml:space="preserve">4. </w:t>
      </w:r>
      <w:r w:rsidR="00E00323" w:rsidRPr="00E74967">
        <w:rPr>
          <w:rFonts w:cs="Calibri"/>
          <w:b/>
        </w:rPr>
        <w:t>Organización y Objeto Social:</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Se informará sobre:</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a)</w:t>
      </w:r>
      <w:r w:rsidRPr="00E74967">
        <w:rPr>
          <w:rFonts w:cs="Calibri"/>
        </w:rPr>
        <w:t xml:space="preserve"> Objeto social.</w:t>
      </w:r>
    </w:p>
    <w:p w:rsidR="007D1E76" w:rsidRPr="00E74967" w:rsidRDefault="009E751D" w:rsidP="007D1E76">
      <w:pPr>
        <w:spacing w:after="0" w:line="240" w:lineRule="auto"/>
        <w:jc w:val="both"/>
        <w:rPr>
          <w:rFonts w:cs="Calibri"/>
        </w:rPr>
      </w:pPr>
      <w:r w:rsidRPr="009E751D">
        <w:rPr>
          <w:rFonts w:ascii="Times New Roman" w:hAnsi="Times New Roman"/>
          <w:b/>
          <w:sz w:val="24"/>
          <w:szCs w:val="24"/>
        </w:rPr>
        <w:t xml:space="preserve"> </w:t>
      </w:r>
      <w:r w:rsidRPr="009E5A47">
        <w:rPr>
          <w:rFonts w:ascii="Times New Roman" w:hAnsi="Times New Roman"/>
          <w:b/>
          <w:sz w:val="24"/>
          <w:szCs w:val="24"/>
        </w:rPr>
        <w:t>Nuestro principal objetivo es prestar un servicio</w:t>
      </w:r>
      <w:r>
        <w:rPr>
          <w:rFonts w:ascii="Times New Roman" w:hAnsi="Times New Roman"/>
          <w:b/>
          <w:sz w:val="24"/>
          <w:szCs w:val="24"/>
        </w:rPr>
        <w:t xml:space="preserve"> eficiente y eficaz de agua potable y alcantarillado a la ciudadanía de nuestro municipio desde la cabecera municipal hasta determinadas comunidades que están a cargo de este ente.</w:t>
      </w:r>
      <w:r>
        <w:rPr>
          <w:rFonts w:ascii="Times New Roman" w:hAnsi="Times New Roman"/>
          <w:b/>
          <w:sz w:val="24"/>
          <w:szCs w:val="24"/>
        </w:rPr>
        <w:t xml:space="preserve"> </w:t>
      </w:r>
      <w:r w:rsidRPr="00657009">
        <w:rPr>
          <w:rFonts w:cs="Calibri"/>
        </w:rPr>
        <w:t xml:space="preserve"> </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b)</w:t>
      </w:r>
      <w:r w:rsidRPr="00E74967">
        <w:rPr>
          <w:rFonts w:cs="Calibri"/>
        </w:rPr>
        <w:t xml:space="preserve"> Principal actividad.</w:t>
      </w:r>
    </w:p>
    <w:p w:rsidR="009E751D" w:rsidRPr="00E74967" w:rsidRDefault="009E751D" w:rsidP="009E751D">
      <w:pPr>
        <w:spacing w:after="0" w:line="240" w:lineRule="auto"/>
        <w:jc w:val="both"/>
        <w:rPr>
          <w:rFonts w:cs="Calibri"/>
        </w:rPr>
      </w:pPr>
      <w:r w:rsidRPr="009E751D">
        <w:rPr>
          <w:rFonts w:ascii="Times New Roman" w:hAnsi="Times New Roman"/>
          <w:b/>
          <w:sz w:val="24"/>
          <w:szCs w:val="24"/>
        </w:rPr>
        <w:t xml:space="preserve"> </w:t>
      </w:r>
      <w:r w:rsidRPr="00AE1CCD">
        <w:rPr>
          <w:rFonts w:ascii="Times New Roman" w:hAnsi="Times New Roman"/>
          <w:b/>
          <w:sz w:val="24"/>
          <w:szCs w:val="24"/>
        </w:rPr>
        <w:t>Distribución del agua potable a todos los usuarios del municipio de Uriangato</w:t>
      </w:r>
      <w:r>
        <w:rPr>
          <w:rFonts w:ascii="Times New Roman" w:hAnsi="Times New Roman"/>
          <w:b/>
          <w:sz w:val="24"/>
          <w:szCs w:val="24"/>
        </w:rPr>
        <w:t xml:space="preserve"> al igual que el servicio drenaje y alcantarillado</w:t>
      </w:r>
      <w:r w:rsidRPr="00AE1CCD">
        <w:rPr>
          <w:rFonts w:ascii="Times New Roman" w:hAnsi="Times New Roman"/>
          <w:b/>
          <w:sz w:val="24"/>
          <w:szCs w:val="24"/>
        </w:rPr>
        <w:t>.</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c)</w:t>
      </w:r>
      <w:r w:rsidRPr="00E74967">
        <w:rPr>
          <w:rFonts w:cs="Calibri"/>
        </w:rPr>
        <w:t xml:space="preserve"> Ejercicio fiscal (mencionar por ejemplo: enero a diciembre de 201</w:t>
      </w:r>
      <w:r w:rsidR="004C0E86">
        <w:rPr>
          <w:rFonts w:cs="Calibri"/>
        </w:rPr>
        <w:t>6</w:t>
      </w:r>
      <w:r w:rsidRPr="00E74967">
        <w:rPr>
          <w:rFonts w:cs="Calibri"/>
        </w:rPr>
        <w:t>).</w:t>
      </w:r>
    </w:p>
    <w:p w:rsidR="007D1E76" w:rsidRPr="00E74967" w:rsidRDefault="009E751D" w:rsidP="007D1E76">
      <w:pPr>
        <w:spacing w:after="0" w:line="240" w:lineRule="auto"/>
        <w:jc w:val="both"/>
        <w:rPr>
          <w:rFonts w:cs="Calibri"/>
        </w:rPr>
      </w:pPr>
      <w:r>
        <w:rPr>
          <w:rFonts w:cs="Calibri"/>
          <w:b/>
        </w:rPr>
        <w:t>Del 01 de En</w:t>
      </w:r>
      <w:r>
        <w:rPr>
          <w:rFonts w:cs="Calibri"/>
          <w:b/>
        </w:rPr>
        <w:t>ero al 31 de Diciembre del 2016</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d)</w:t>
      </w:r>
      <w:r w:rsidRPr="00E74967">
        <w:rPr>
          <w:rFonts w:cs="Calibri"/>
        </w:rPr>
        <w:t xml:space="preserve"> Régimen jurídico (Forma como está dada de alta la entidad ante la S.H.C.P., ejemplos: S.C., S.A., Personas morales sin fines de lucro, etc.).</w:t>
      </w:r>
    </w:p>
    <w:p w:rsidR="007D1E76" w:rsidRPr="00E74967" w:rsidRDefault="007D1E76" w:rsidP="007D1E76">
      <w:pPr>
        <w:spacing w:after="0" w:line="240" w:lineRule="auto"/>
        <w:jc w:val="both"/>
        <w:rPr>
          <w:rFonts w:cs="Calibri"/>
        </w:rPr>
      </w:pPr>
      <w:r w:rsidRPr="00E74967">
        <w:rPr>
          <w:rFonts w:cs="Calibri"/>
        </w:rPr>
        <w:t>__</w:t>
      </w:r>
      <w:r w:rsidR="009E751D" w:rsidRPr="009E751D">
        <w:rPr>
          <w:rFonts w:ascii="Times New Roman" w:hAnsi="Times New Roman"/>
          <w:b/>
          <w:sz w:val="24"/>
          <w:szCs w:val="24"/>
        </w:rPr>
        <w:t xml:space="preserve"> </w:t>
      </w:r>
      <w:r w:rsidR="009E751D" w:rsidRPr="00AE1CCD">
        <w:rPr>
          <w:rFonts w:ascii="Times New Roman" w:hAnsi="Times New Roman"/>
          <w:b/>
          <w:sz w:val="24"/>
          <w:szCs w:val="24"/>
        </w:rPr>
        <w:t>Sistema Municipal de Agua Potable y Alcantarillado del Municipio de Uriangato</w:t>
      </w:r>
      <w:r w:rsidR="009E751D">
        <w:rPr>
          <w:rFonts w:ascii="Times New Roman" w:hAnsi="Times New Roman"/>
          <w:b/>
          <w:sz w:val="24"/>
          <w:szCs w:val="24"/>
        </w:rPr>
        <w:t xml:space="preserve">, </w:t>
      </w:r>
      <w:proofErr w:type="spellStart"/>
      <w:r w:rsidR="009E751D">
        <w:rPr>
          <w:rFonts w:ascii="Times New Roman" w:hAnsi="Times New Roman"/>
          <w:b/>
          <w:sz w:val="24"/>
          <w:szCs w:val="24"/>
        </w:rPr>
        <w:t>Gto</w:t>
      </w:r>
      <w:proofErr w:type="spellEnd"/>
      <w:r w:rsidR="009E751D">
        <w:rPr>
          <w:rFonts w:ascii="Times New Roman" w:hAnsi="Times New Roman"/>
          <w:b/>
          <w:sz w:val="24"/>
          <w:szCs w:val="24"/>
        </w:rPr>
        <w:t>.  Persona Moral Sin un fin lucrativo.</w:t>
      </w:r>
      <w:r w:rsidR="009E751D" w:rsidRPr="00657009">
        <w:rPr>
          <w:rFonts w:cs="Calibri"/>
        </w:rPr>
        <w:t xml:space="preserve"> </w:t>
      </w:r>
      <w:r w:rsidR="00657009" w:rsidRPr="00657009">
        <w:rPr>
          <w:rFonts w:cs="Calibri"/>
        </w:rPr>
        <w:t>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e)</w:t>
      </w:r>
      <w:r w:rsidRPr="00E74967">
        <w:rPr>
          <w:rFonts w:cs="Calibri"/>
        </w:rPr>
        <w:t xml:space="preserve"> Consideraciones fiscales del ente: </w:t>
      </w:r>
      <w:r w:rsidR="00657009" w:rsidRPr="00E74967">
        <w:rPr>
          <w:rFonts w:cs="Calibri"/>
        </w:rPr>
        <w:t>R</w:t>
      </w:r>
      <w:r w:rsidRPr="00E74967">
        <w:rPr>
          <w:rFonts w:cs="Calibri"/>
        </w:rPr>
        <w:t>evelar el tipo de contribuciones que esté obligado a pagar o retener.</w:t>
      </w:r>
    </w:p>
    <w:p w:rsidR="009E751D" w:rsidRDefault="007D1E76" w:rsidP="009E751D">
      <w:pPr>
        <w:spacing w:after="0" w:line="240" w:lineRule="auto"/>
        <w:rPr>
          <w:rFonts w:ascii="Times New Roman" w:hAnsi="Times New Roman"/>
          <w:sz w:val="24"/>
          <w:szCs w:val="24"/>
        </w:rPr>
      </w:pPr>
      <w:r w:rsidRPr="00E74967">
        <w:rPr>
          <w:rFonts w:cs="Calibri"/>
        </w:rPr>
        <w:t>____</w:t>
      </w:r>
      <w:r w:rsidR="009E751D">
        <w:rPr>
          <w:rFonts w:ascii="Times New Roman" w:hAnsi="Times New Roman"/>
          <w:sz w:val="24"/>
          <w:szCs w:val="24"/>
        </w:rPr>
        <w:t>1.- Pago definitivo mensual de IVA.</w:t>
      </w:r>
    </w:p>
    <w:p w:rsidR="009E751D" w:rsidRDefault="009E751D" w:rsidP="009E751D">
      <w:pPr>
        <w:spacing w:after="0" w:line="240" w:lineRule="auto"/>
        <w:rPr>
          <w:rFonts w:ascii="Times New Roman" w:hAnsi="Times New Roman"/>
          <w:sz w:val="24"/>
          <w:szCs w:val="24"/>
        </w:rPr>
      </w:pPr>
    </w:p>
    <w:p w:rsidR="009E751D" w:rsidRDefault="009E751D" w:rsidP="009E751D">
      <w:pPr>
        <w:spacing w:after="0" w:line="240" w:lineRule="auto"/>
        <w:rPr>
          <w:rFonts w:ascii="Times New Roman" w:hAnsi="Times New Roman"/>
          <w:sz w:val="24"/>
          <w:szCs w:val="24"/>
        </w:rPr>
      </w:pPr>
      <w:r>
        <w:rPr>
          <w:rFonts w:ascii="Times New Roman" w:hAnsi="Times New Roman"/>
          <w:sz w:val="24"/>
          <w:szCs w:val="24"/>
        </w:rPr>
        <w:t>2.- Declaración anual informativa de los ingresos obtenidos y los gastos efectuados del régimen de personas morales con fines no lucrativos. Impuesto sobre la Renta.</w:t>
      </w:r>
    </w:p>
    <w:p w:rsidR="009E751D" w:rsidRDefault="009E751D" w:rsidP="009E751D">
      <w:pPr>
        <w:spacing w:after="0" w:line="240" w:lineRule="auto"/>
        <w:rPr>
          <w:rFonts w:ascii="Times New Roman" w:hAnsi="Times New Roman"/>
          <w:sz w:val="24"/>
          <w:szCs w:val="24"/>
        </w:rPr>
      </w:pPr>
    </w:p>
    <w:p w:rsidR="009E751D" w:rsidRDefault="009E751D" w:rsidP="009E751D">
      <w:pPr>
        <w:spacing w:after="0" w:line="240" w:lineRule="auto"/>
        <w:rPr>
          <w:rFonts w:ascii="Times New Roman" w:hAnsi="Times New Roman"/>
          <w:sz w:val="24"/>
          <w:szCs w:val="24"/>
        </w:rPr>
      </w:pPr>
      <w:r>
        <w:rPr>
          <w:rFonts w:ascii="Times New Roman" w:hAnsi="Times New Roman"/>
          <w:sz w:val="24"/>
          <w:szCs w:val="24"/>
        </w:rPr>
        <w:t>3.- Declaración informativa mensual de operaciones con terceros de IVA.</w:t>
      </w:r>
    </w:p>
    <w:p w:rsidR="009E751D" w:rsidRDefault="009E751D" w:rsidP="009E751D">
      <w:pPr>
        <w:spacing w:after="0" w:line="240" w:lineRule="auto"/>
        <w:rPr>
          <w:rFonts w:ascii="Times New Roman" w:hAnsi="Times New Roman"/>
          <w:sz w:val="24"/>
          <w:szCs w:val="24"/>
        </w:rPr>
      </w:pPr>
    </w:p>
    <w:p w:rsidR="009E751D" w:rsidRDefault="009E751D" w:rsidP="009E751D">
      <w:pPr>
        <w:spacing w:after="0" w:line="240" w:lineRule="auto"/>
        <w:rPr>
          <w:rFonts w:ascii="Times New Roman" w:hAnsi="Times New Roman"/>
          <w:sz w:val="24"/>
          <w:szCs w:val="24"/>
        </w:rPr>
      </w:pPr>
      <w:r>
        <w:rPr>
          <w:rFonts w:ascii="Times New Roman" w:hAnsi="Times New Roman"/>
          <w:sz w:val="24"/>
          <w:szCs w:val="24"/>
        </w:rPr>
        <w:t>4.- Entero de retenciones mensuales de ISR por ingresos asimilados a salario.</w:t>
      </w:r>
    </w:p>
    <w:p w:rsidR="009E751D" w:rsidRDefault="009E751D" w:rsidP="009E751D">
      <w:pPr>
        <w:spacing w:after="0" w:line="240" w:lineRule="auto"/>
        <w:rPr>
          <w:rFonts w:ascii="Times New Roman" w:hAnsi="Times New Roman"/>
          <w:sz w:val="24"/>
          <w:szCs w:val="24"/>
        </w:rPr>
      </w:pPr>
    </w:p>
    <w:p w:rsidR="009E751D" w:rsidRDefault="009E751D" w:rsidP="009E751D">
      <w:pPr>
        <w:spacing w:after="0" w:line="240" w:lineRule="auto"/>
        <w:rPr>
          <w:rFonts w:ascii="Times New Roman" w:hAnsi="Times New Roman"/>
          <w:sz w:val="24"/>
          <w:szCs w:val="24"/>
        </w:rPr>
      </w:pPr>
      <w:r>
        <w:rPr>
          <w:rFonts w:ascii="Times New Roman" w:hAnsi="Times New Roman"/>
          <w:sz w:val="24"/>
          <w:szCs w:val="24"/>
        </w:rPr>
        <w:t>5.- Declaración informativa mensual de proveedores.</w:t>
      </w:r>
    </w:p>
    <w:p w:rsidR="009E751D" w:rsidRDefault="009E751D" w:rsidP="009E751D">
      <w:pPr>
        <w:spacing w:after="0" w:line="240" w:lineRule="auto"/>
        <w:rPr>
          <w:rFonts w:ascii="Times New Roman" w:hAnsi="Times New Roman"/>
          <w:sz w:val="24"/>
          <w:szCs w:val="24"/>
        </w:rPr>
      </w:pPr>
    </w:p>
    <w:p w:rsidR="009E751D" w:rsidRDefault="009E751D" w:rsidP="009E751D">
      <w:pPr>
        <w:spacing w:after="0" w:line="240" w:lineRule="auto"/>
        <w:rPr>
          <w:rFonts w:ascii="Times New Roman" w:hAnsi="Times New Roman"/>
          <w:sz w:val="24"/>
          <w:szCs w:val="24"/>
        </w:rPr>
      </w:pPr>
      <w:r>
        <w:rPr>
          <w:rFonts w:ascii="Times New Roman" w:hAnsi="Times New Roman"/>
          <w:sz w:val="24"/>
          <w:szCs w:val="24"/>
        </w:rPr>
        <w:t>6.- Entero de retenciones mensuales de ISR por sueldos y salarios.</w:t>
      </w:r>
    </w:p>
    <w:p w:rsidR="009E751D" w:rsidRDefault="009E751D" w:rsidP="009E751D">
      <w:pPr>
        <w:spacing w:after="0" w:line="240" w:lineRule="auto"/>
        <w:rPr>
          <w:rFonts w:ascii="Times New Roman" w:hAnsi="Times New Roman"/>
          <w:sz w:val="24"/>
          <w:szCs w:val="24"/>
        </w:rPr>
      </w:pPr>
      <w:r>
        <w:rPr>
          <w:rFonts w:ascii="Times New Roman" w:hAnsi="Times New Roman"/>
          <w:sz w:val="24"/>
          <w:szCs w:val="24"/>
        </w:rPr>
        <w:t xml:space="preserve"> </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f)</w:t>
      </w:r>
      <w:r w:rsidRPr="00E74967">
        <w:rPr>
          <w:rFonts w:cs="Calibri"/>
        </w:rPr>
        <w:t xml:space="preserve"> Estructura organizacional básica.</w:t>
      </w:r>
    </w:p>
    <w:p w:rsidR="007D1E76" w:rsidRPr="00E74967" w:rsidRDefault="007D1E76" w:rsidP="007D1E76">
      <w:pPr>
        <w:spacing w:after="0" w:line="240" w:lineRule="auto"/>
        <w:ind w:firstLine="708"/>
        <w:jc w:val="both"/>
        <w:rPr>
          <w:rFonts w:cs="Calibri"/>
        </w:rPr>
      </w:pPr>
      <w:r w:rsidRPr="00E74967">
        <w:rPr>
          <w:rFonts w:cs="Calibri"/>
        </w:rPr>
        <w:t>*Anexar organigrama de la entidad.</w:t>
      </w:r>
    </w:p>
    <w:p w:rsidR="007D1E76" w:rsidRDefault="007D1E76" w:rsidP="007D1E76">
      <w:pPr>
        <w:spacing w:after="0" w:line="240" w:lineRule="auto"/>
        <w:jc w:val="both"/>
        <w:rPr>
          <w:rFonts w:cs="Calibri"/>
        </w:rPr>
      </w:pPr>
    </w:p>
    <w:p w:rsidR="009E751D" w:rsidRDefault="009E751D" w:rsidP="007D1E76">
      <w:pPr>
        <w:spacing w:after="0" w:line="240" w:lineRule="auto"/>
        <w:jc w:val="both"/>
        <w:rPr>
          <w:rFonts w:cs="Calibri"/>
        </w:rPr>
      </w:pPr>
      <w:r>
        <w:rPr>
          <w:rFonts w:ascii="Times New Roman" w:hAnsi="Times New Roman"/>
          <w:noProof/>
          <w:sz w:val="24"/>
          <w:szCs w:val="24"/>
          <w:lang w:eastAsia="es-MX"/>
        </w:rPr>
        <w:lastRenderedPageBreak/>
        <w:drawing>
          <wp:inline distT="0" distB="0" distL="0" distR="0">
            <wp:extent cx="1569720" cy="5400040"/>
            <wp:effectExtent l="8890" t="0" r="1270" b="1270"/>
            <wp:docPr id="1" name="Imagen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1"/>
                    <pic:cNvPicPr>
                      <a:picLocks noChangeAspect="1" noChangeArrowheads="1"/>
                    </pic:cNvPicPr>
                  </pic:nvPicPr>
                  <pic:blipFill>
                    <a:blip r:embed="rId9" cstate="print">
                      <a:extLst>
                        <a:ext uri="{28A0092B-C50C-407E-A947-70E740481C1C}">
                          <a14:useLocalDpi xmlns:a14="http://schemas.microsoft.com/office/drawing/2010/main" val="0"/>
                        </a:ext>
                      </a:extLst>
                    </a:blip>
                    <a:srcRect/>
                    <a:stretch>
                      <a:fillRect/>
                    </a:stretch>
                  </pic:blipFill>
                  <pic:spPr bwMode="auto">
                    <a:xfrm rot="5400000">
                      <a:off x="0" y="0"/>
                      <a:ext cx="1569720" cy="5400040"/>
                    </a:xfrm>
                    <a:prstGeom prst="rect">
                      <a:avLst/>
                    </a:prstGeom>
                    <a:noFill/>
                    <a:ln>
                      <a:noFill/>
                    </a:ln>
                  </pic:spPr>
                </pic:pic>
              </a:graphicData>
            </a:graphic>
          </wp:inline>
        </w:drawing>
      </w:r>
    </w:p>
    <w:p w:rsidR="009E751D" w:rsidRDefault="009E751D" w:rsidP="007D1E76">
      <w:pPr>
        <w:spacing w:after="0" w:line="240" w:lineRule="auto"/>
        <w:jc w:val="both"/>
        <w:rPr>
          <w:rFonts w:cs="Calibri"/>
        </w:rPr>
      </w:pPr>
      <w:r>
        <w:rPr>
          <w:rFonts w:ascii="Times New Roman" w:hAnsi="Times New Roman"/>
          <w:noProof/>
          <w:sz w:val="24"/>
          <w:szCs w:val="24"/>
          <w:lang w:eastAsia="es-MX"/>
        </w:rPr>
        <w:drawing>
          <wp:inline distT="0" distB="0" distL="0" distR="0">
            <wp:extent cx="2924175" cy="5193030"/>
            <wp:effectExtent l="8573" t="0" r="0" b="0"/>
            <wp:docPr id="2" name="Imagen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5"/>
                    <pic:cNvPicPr>
                      <a:picLocks noChangeAspect="1" noChangeArrowheads="1"/>
                    </pic:cNvPicPr>
                  </pic:nvPicPr>
                  <pic:blipFill>
                    <a:blip r:embed="rId10" cstate="print">
                      <a:extLst>
                        <a:ext uri="{28A0092B-C50C-407E-A947-70E740481C1C}">
                          <a14:useLocalDpi xmlns:a14="http://schemas.microsoft.com/office/drawing/2010/main" val="0"/>
                        </a:ext>
                      </a:extLst>
                    </a:blip>
                    <a:srcRect/>
                    <a:stretch>
                      <a:fillRect/>
                    </a:stretch>
                  </pic:blipFill>
                  <pic:spPr bwMode="auto">
                    <a:xfrm rot="5400000">
                      <a:off x="0" y="0"/>
                      <a:ext cx="2924175" cy="5193030"/>
                    </a:xfrm>
                    <a:prstGeom prst="rect">
                      <a:avLst/>
                    </a:prstGeom>
                    <a:noFill/>
                    <a:ln>
                      <a:noFill/>
                    </a:ln>
                  </pic:spPr>
                </pic:pic>
              </a:graphicData>
            </a:graphic>
          </wp:inline>
        </w:drawing>
      </w:r>
    </w:p>
    <w:p w:rsidR="009E751D" w:rsidRDefault="009E751D" w:rsidP="007D1E76">
      <w:pPr>
        <w:spacing w:after="0" w:line="240" w:lineRule="auto"/>
        <w:jc w:val="both"/>
        <w:rPr>
          <w:rFonts w:cs="Calibri"/>
        </w:rPr>
      </w:pPr>
      <w:r>
        <w:rPr>
          <w:rFonts w:ascii="Times New Roman" w:hAnsi="Times New Roman"/>
          <w:noProof/>
          <w:sz w:val="24"/>
          <w:szCs w:val="24"/>
          <w:lang w:eastAsia="es-MX"/>
        </w:rPr>
        <w:lastRenderedPageBreak/>
        <w:drawing>
          <wp:inline distT="0" distB="0" distL="0" distR="0">
            <wp:extent cx="4097655" cy="5477510"/>
            <wp:effectExtent l="0" t="4127" r="0" b="0"/>
            <wp:docPr id="3" name="Imagen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2"/>
                    <pic:cNvPicPr>
                      <a:picLocks noChangeAspect="1" noChangeArrowheads="1"/>
                    </pic:cNvPicPr>
                  </pic:nvPicPr>
                  <pic:blipFill>
                    <a:blip r:embed="rId11" cstate="print">
                      <a:extLst>
                        <a:ext uri="{28A0092B-C50C-407E-A947-70E740481C1C}">
                          <a14:useLocalDpi xmlns:a14="http://schemas.microsoft.com/office/drawing/2010/main" val="0"/>
                        </a:ext>
                      </a:extLst>
                    </a:blip>
                    <a:srcRect/>
                    <a:stretch>
                      <a:fillRect/>
                    </a:stretch>
                  </pic:blipFill>
                  <pic:spPr bwMode="auto">
                    <a:xfrm rot="5400000">
                      <a:off x="0" y="0"/>
                      <a:ext cx="4097655" cy="5477510"/>
                    </a:xfrm>
                    <a:prstGeom prst="rect">
                      <a:avLst/>
                    </a:prstGeom>
                    <a:noFill/>
                    <a:ln>
                      <a:noFill/>
                    </a:ln>
                  </pic:spPr>
                </pic:pic>
              </a:graphicData>
            </a:graphic>
          </wp:inline>
        </w:drawing>
      </w:r>
    </w:p>
    <w:p w:rsidR="009E751D" w:rsidRDefault="009E751D" w:rsidP="007D1E76">
      <w:pPr>
        <w:spacing w:after="0" w:line="240" w:lineRule="auto"/>
        <w:jc w:val="both"/>
        <w:rPr>
          <w:rFonts w:cs="Calibri"/>
        </w:rPr>
      </w:pPr>
      <w:r>
        <w:rPr>
          <w:rFonts w:ascii="Times New Roman" w:hAnsi="Times New Roman"/>
          <w:noProof/>
          <w:sz w:val="24"/>
          <w:szCs w:val="24"/>
          <w:lang w:eastAsia="es-MX"/>
        </w:rPr>
        <w:drawing>
          <wp:inline distT="0" distB="0" distL="0" distR="0">
            <wp:extent cx="1224915" cy="5909310"/>
            <wp:effectExtent l="953" t="0" r="0" b="0"/>
            <wp:docPr id="4" name="Imagen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6"/>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rot="5400000">
                      <a:off x="0" y="0"/>
                      <a:ext cx="1224915" cy="5909310"/>
                    </a:xfrm>
                    <a:prstGeom prst="rect">
                      <a:avLst/>
                    </a:prstGeom>
                    <a:noFill/>
                    <a:ln>
                      <a:noFill/>
                    </a:ln>
                  </pic:spPr>
                </pic:pic>
              </a:graphicData>
            </a:graphic>
          </wp:inline>
        </w:drawing>
      </w:r>
    </w:p>
    <w:p w:rsidR="009E751D" w:rsidRDefault="009E751D" w:rsidP="007D1E76">
      <w:pPr>
        <w:spacing w:after="0" w:line="240" w:lineRule="auto"/>
        <w:jc w:val="both"/>
        <w:rPr>
          <w:rFonts w:cs="Calibri"/>
        </w:rPr>
      </w:pPr>
    </w:p>
    <w:p w:rsidR="009E751D" w:rsidRDefault="009E751D" w:rsidP="007D1E76">
      <w:pPr>
        <w:spacing w:after="0" w:line="240" w:lineRule="auto"/>
        <w:jc w:val="both"/>
        <w:rPr>
          <w:rFonts w:cs="Calibri"/>
        </w:rPr>
      </w:pPr>
      <w:r>
        <w:rPr>
          <w:rFonts w:ascii="Times New Roman" w:hAnsi="Times New Roman"/>
          <w:noProof/>
          <w:sz w:val="24"/>
          <w:szCs w:val="24"/>
          <w:lang w:eastAsia="es-MX"/>
        </w:rPr>
        <w:drawing>
          <wp:inline distT="0" distB="0" distL="0" distR="0">
            <wp:extent cx="2251710" cy="5943600"/>
            <wp:effectExtent l="1905" t="0" r="0" b="0"/>
            <wp:docPr id="5" name="Imagen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Imagen 7"/>
                    <pic:cNvPicPr>
                      <a:picLocks noChangeAspect="1" noChangeArrowheads="1"/>
                    </pic:cNvPicPr>
                  </pic:nvPicPr>
                  <pic:blipFill>
                    <a:blip r:embed="rId13" cstate="print">
                      <a:extLst>
                        <a:ext uri="{28A0092B-C50C-407E-A947-70E740481C1C}">
                          <a14:useLocalDpi xmlns:a14="http://schemas.microsoft.com/office/drawing/2010/main" val="0"/>
                        </a:ext>
                      </a:extLst>
                    </a:blip>
                    <a:srcRect/>
                    <a:stretch>
                      <a:fillRect/>
                    </a:stretch>
                  </pic:blipFill>
                  <pic:spPr bwMode="auto">
                    <a:xfrm rot="5400000">
                      <a:off x="0" y="0"/>
                      <a:ext cx="2251710" cy="5943600"/>
                    </a:xfrm>
                    <a:prstGeom prst="rect">
                      <a:avLst/>
                    </a:prstGeom>
                    <a:noFill/>
                    <a:ln>
                      <a:noFill/>
                    </a:ln>
                  </pic:spPr>
                </pic:pic>
              </a:graphicData>
            </a:graphic>
          </wp:inline>
        </w:drawing>
      </w:r>
    </w:p>
    <w:p w:rsidR="009E751D" w:rsidRDefault="009E751D" w:rsidP="007D1E76">
      <w:pPr>
        <w:spacing w:after="0" w:line="240" w:lineRule="auto"/>
        <w:jc w:val="both"/>
        <w:rPr>
          <w:rFonts w:cs="Calibri"/>
        </w:rPr>
      </w:pPr>
    </w:p>
    <w:p w:rsidR="009E751D" w:rsidRDefault="009E751D" w:rsidP="007D1E76">
      <w:pPr>
        <w:spacing w:after="0" w:line="240" w:lineRule="auto"/>
        <w:jc w:val="both"/>
        <w:rPr>
          <w:rFonts w:cs="Calibri"/>
        </w:rPr>
      </w:pPr>
    </w:p>
    <w:p w:rsidR="009E751D" w:rsidRDefault="009E751D" w:rsidP="007D1E76">
      <w:pPr>
        <w:spacing w:after="0" w:line="240" w:lineRule="auto"/>
        <w:jc w:val="both"/>
        <w:rPr>
          <w:rFonts w:cs="Calibri"/>
        </w:rPr>
      </w:pPr>
    </w:p>
    <w:p w:rsidR="009E751D" w:rsidRPr="00E74967" w:rsidRDefault="009E751D"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lastRenderedPageBreak/>
        <w:t>g)</w:t>
      </w:r>
      <w:r w:rsidRPr="00E74967">
        <w:rPr>
          <w:rFonts w:cs="Calibri"/>
        </w:rPr>
        <w:t xml:space="preserve"> Fideicomisos, mandatos y análogos de los cuales es fideicomitente o </w:t>
      </w:r>
      <w:r w:rsidR="00657009" w:rsidRPr="00657009">
        <w:rPr>
          <w:rFonts w:cs="Calibri"/>
        </w:rPr>
        <w:t>fideicomisario</w:t>
      </w:r>
      <w:r w:rsidRPr="00E74967">
        <w:rPr>
          <w:rFonts w:cs="Calibri"/>
        </w:rPr>
        <w:t>.</w:t>
      </w:r>
    </w:p>
    <w:p w:rsidR="009E751D" w:rsidRPr="00E74967" w:rsidRDefault="007D1E76" w:rsidP="009E751D">
      <w:pPr>
        <w:spacing w:after="0" w:line="240" w:lineRule="auto"/>
        <w:jc w:val="both"/>
        <w:rPr>
          <w:rFonts w:cs="Calibri"/>
        </w:rPr>
      </w:pPr>
      <w:r w:rsidRPr="00E74967">
        <w:rPr>
          <w:rFonts w:cs="Calibri"/>
        </w:rPr>
        <w:t>_</w:t>
      </w:r>
      <w:r w:rsidR="009E751D" w:rsidRPr="009E751D">
        <w:rPr>
          <w:rFonts w:ascii="Times New Roman" w:hAnsi="Times New Roman"/>
          <w:b/>
          <w:sz w:val="24"/>
          <w:szCs w:val="24"/>
        </w:rPr>
        <w:t xml:space="preserve"> </w:t>
      </w:r>
      <w:r w:rsidR="009E751D">
        <w:rPr>
          <w:rFonts w:ascii="Times New Roman" w:hAnsi="Times New Roman"/>
          <w:b/>
          <w:sz w:val="24"/>
          <w:szCs w:val="24"/>
        </w:rPr>
        <w:t>En este momento no contamos con ningún tipo de los instrumentos antes mencionados.</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5. Bases de Preparació</w:t>
      </w:r>
      <w:r w:rsidR="00E00323" w:rsidRPr="00E74967">
        <w:rPr>
          <w:rFonts w:cs="Calibri"/>
          <w:b/>
        </w:rPr>
        <w:t>n de los Estados Financieros:</w:t>
      </w:r>
    </w:p>
    <w:p w:rsidR="007D1E76" w:rsidRPr="00E74967" w:rsidRDefault="007D1E76" w:rsidP="007D1E76">
      <w:pPr>
        <w:spacing w:after="0" w:line="240" w:lineRule="auto"/>
        <w:jc w:val="both"/>
        <w:rPr>
          <w:rFonts w:cs="Calibri"/>
        </w:rPr>
      </w:pPr>
      <w:r w:rsidRPr="00E74967">
        <w:rPr>
          <w:rFonts w:cs="Calibri"/>
        </w:rPr>
        <w:t>Se informará sobre:</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a)</w:t>
      </w:r>
      <w:r w:rsidRPr="00E74967">
        <w:rPr>
          <w:rFonts w:cs="Calibri"/>
        </w:rPr>
        <w:t xml:space="preserve"> Si se ha observado la normatividad emitida por el CONAC y las disposiciones legales aplicables.</w:t>
      </w:r>
    </w:p>
    <w:p w:rsidR="003429BE" w:rsidRPr="000B7810" w:rsidRDefault="007D1E76" w:rsidP="003429BE">
      <w:pPr>
        <w:spacing w:after="0" w:line="240" w:lineRule="auto"/>
        <w:jc w:val="both"/>
        <w:rPr>
          <w:rFonts w:ascii="Times New Roman" w:hAnsi="Times New Roman"/>
          <w:sz w:val="24"/>
          <w:szCs w:val="24"/>
        </w:rPr>
      </w:pPr>
      <w:r w:rsidRPr="00E74967">
        <w:rPr>
          <w:rFonts w:cs="Calibri"/>
        </w:rPr>
        <w:t>_</w:t>
      </w:r>
      <w:r w:rsidR="003429BE" w:rsidRPr="003429BE">
        <w:rPr>
          <w:rFonts w:ascii="Times New Roman" w:hAnsi="Times New Roman"/>
          <w:b/>
          <w:sz w:val="24"/>
          <w:szCs w:val="24"/>
        </w:rPr>
        <w:t xml:space="preserve"> </w:t>
      </w:r>
      <w:r w:rsidR="003429BE" w:rsidRPr="00972DC1">
        <w:rPr>
          <w:rFonts w:ascii="Times New Roman" w:hAnsi="Times New Roman"/>
          <w:b/>
          <w:sz w:val="24"/>
          <w:szCs w:val="24"/>
        </w:rPr>
        <w:t xml:space="preserve">Los estados financieros son presentados </w:t>
      </w:r>
      <w:r w:rsidR="003429BE">
        <w:rPr>
          <w:rFonts w:ascii="Times New Roman" w:hAnsi="Times New Roman"/>
          <w:b/>
          <w:sz w:val="24"/>
          <w:szCs w:val="24"/>
        </w:rPr>
        <w:t xml:space="preserve">y preparados </w:t>
      </w:r>
      <w:r w:rsidR="003429BE" w:rsidRPr="00972DC1">
        <w:rPr>
          <w:rFonts w:ascii="Times New Roman" w:hAnsi="Times New Roman"/>
          <w:b/>
          <w:sz w:val="24"/>
          <w:szCs w:val="24"/>
        </w:rPr>
        <w:t>en atención a lo establecido por el CONAC y las disposiciones legales establecidas.</w:t>
      </w:r>
    </w:p>
    <w:p w:rsidR="007D1E76" w:rsidRPr="00E74967" w:rsidRDefault="00657009" w:rsidP="007D1E76">
      <w:pPr>
        <w:spacing w:after="0" w:line="240" w:lineRule="auto"/>
        <w:jc w:val="both"/>
        <w:rPr>
          <w:rFonts w:cs="Calibri"/>
        </w:rPr>
      </w:pPr>
      <w:r w:rsidRPr="00657009">
        <w:rPr>
          <w:rFonts w:cs="Calibri"/>
        </w:rPr>
        <w:t>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b)</w:t>
      </w:r>
      <w:r w:rsidRPr="00E74967">
        <w:rPr>
          <w:rFonts w:cs="Calibri"/>
        </w:rPr>
        <w:t xml:space="preserve"> La normatividad aplicada para el reconocimiento, valuación y revelación de los diferentes rubros de la información financiera, así como las bases de medición utilizadas para la elaboración de los estados financieros; por ejemplo: costo histórico, valor de realización, valor razonable, valor de recuperación o cualquier otro método empleado y los criterios de aplicación de los mismos.</w:t>
      </w:r>
    </w:p>
    <w:p w:rsidR="007D1E76" w:rsidRPr="00E74967" w:rsidRDefault="007D1E76" w:rsidP="007D1E76">
      <w:pPr>
        <w:spacing w:after="0" w:line="240" w:lineRule="auto"/>
        <w:jc w:val="both"/>
        <w:rPr>
          <w:rFonts w:cs="Calibri"/>
        </w:rPr>
      </w:pPr>
      <w:r w:rsidRPr="00E74967">
        <w:rPr>
          <w:rFonts w:cs="Calibri"/>
        </w:rPr>
        <w:t>___</w:t>
      </w:r>
      <w:r w:rsidR="003429BE" w:rsidRPr="003429BE">
        <w:rPr>
          <w:rFonts w:ascii="Times New Roman" w:hAnsi="Times New Roman"/>
          <w:b/>
          <w:sz w:val="24"/>
          <w:szCs w:val="24"/>
        </w:rPr>
        <w:t xml:space="preserve"> </w:t>
      </w:r>
      <w:r w:rsidR="003429BE" w:rsidRPr="00972DC1">
        <w:rPr>
          <w:rFonts w:ascii="Times New Roman" w:hAnsi="Times New Roman"/>
          <w:b/>
          <w:sz w:val="24"/>
          <w:szCs w:val="24"/>
        </w:rPr>
        <w:t xml:space="preserve">Los estados financieros son presentados </w:t>
      </w:r>
      <w:r w:rsidR="003429BE">
        <w:rPr>
          <w:rFonts w:ascii="Times New Roman" w:hAnsi="Times New Roman"/>
          <w:b/>
          <w:sz w:val="24"/>
          <w:szCs w:val="24"/>
        </w:rPr>
        <w:t xml:space="preserve">y preparados </w:t>
      </w:r>
      <w:r w:rsidR="003429BE" w:rsidRPr="00972DC1">
        <w:rPr>
          <w:rFonts w:ascii="Times New Roman" w:hAnsi="Times New Roman"/>
          <w:b/>
          <w:sz w:val="24"/>
          <w:szCs w:val="24"/>
        </w:rPr>
        <w:t>en atención a lo establecido por el CONAC y las disposiciones legales establecidas.</w:t>
      </w:r>
      <w:r w:rsidR="003429BE" w:rsidRPr="00657009">
        <w:rPr>
          <w:rFonts w:cs="Calibri"/>
        </w:rPr>
        <w:t xml:space="preserve"> </w:t>
      </w:r>
      <w:r w:rsidR="00657009" w:rsidRPr="00657009">
        <w:rPr>
          <w:rFonts w:cs="Calibri"/>
        </w:rPr>
        <w:t>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c)</w:t>
      </w:r>
      <w:r w:rsidRPr="00E74967">
        <w:rPr>
          <w:rFonts w:cs="Calibri"/>
        </w:rPr>
        <w:t xml:space="preserve"> Postulados básicos.</w:t>
      </w:r>
    </w:p>
    <w:p w:rsidR="003429BE" w:rsidRDefault="003429BE" w:rsidP="007D1E76">
      <w:pPr>
        <w:spacing w:after="0" w:line="240" w:lineRule="auto"/>
        <w:jc w:val="both"/>
        <w:rPr>
          <w:rFonts w:cs="Calibri"/>
        </w:rPr>
      </w:pPr>
    </w:p>
    <w:p w:rsidR="007D1E76" w:rsidRPr="00E74967" w:rsidRDefault="00657009" w:rsidP="007D1E76">
      <w:pPr>
        <w:spacing w:after="0" w:line="240" w:lineRule="auto"/>
        <w:jc w:val="both"/>
        <w:rPr>
          <w:rFonts w:cs="Calibri"/>
        </w:rPr>
      </w:pPr>
      <w:r w:rsidRPr="00657009">
        <w:rPr>
          <w:rFonts w:cs="Calibri"/>
        </w:rPr>
        <w:t>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d)</w:t>
      </w:r>
      <w:r w:rsidRPr="00E74967">
        <w:rPr>
          <w:rFonts w:cs="Calibri"/>
        </w:rPr>
        <w:t xml:space="preserve"> Normatividad supletoria. En caso de emplear varios grupos de normatividades (normatividades supletorias), deberá realizar la justificación razonable correspondiente, su alineación con los PBCG y a las características cualitativas asociadas descritas en el MCCG (documentos publicados en el Diario Oficial de la Federación, agosto 2009).</w:t>
      </w:r>
    </w:p>
    <w:p w:rsidR="007D1E76" w:rsidRPr="00E74967" w:rsidRDefault="007D1E76" w:rsidP="007D1E76">
      <w:pPr>
        <w:spacing w:after="0" w:line="240" w:lineRule="auto"/>
        <w:jc w:val="both"/>
        <w:rPr>
          <w:rFonts w:cs="Calibri"/>
        </w:rPr>
      </w:pPr>
      <w:r w:rsidRPr="00E74967">
        <w:rPr>
          <w:rFonts w:cs="Calibri"/>
        </w:rPr>
        <w:t>_____________________________</w:t>
      </w:r>
      <w:r w:rsidR="00657009" w:rsidRPr="00657009">
        <w:rPr>
          <w:rFonts w:cs="Calibri"/>
        </w:rPr>
        <w:t>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e)</w:t>
      </w:r>
      <w:r w:rsidRPr="00E74967">
        <w:rPr>
          <w:rFonts w:cs="Calibri"/>
        </w:rPr>
        <w:t xml:space="preserve"> Para las entidades que por primera vez estén implementando la base devengado de acuerdo a la Ley de Contabilidad, deberán:</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*Revelar las nuevas políticas de reconocimiento:</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*Plan de implementación:</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*Revelar los cambios en las políticas, la clasificación y medición de las mismas, así como su impacto en la información financiera:</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lastRenderedPageBreak/>
        <w:t>6. Políticas de</w:t>
      </w:r>
      <w:r w:rsidR="00E00323" w:rsidRPr="00E74967">
        <w:rPr>
          <w:rFonts w:cs="Calibri"/>
          <w:b/>
        </w:rPr>
        <w:t xml:space="preserve"> Contabilidad Significativas:</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Se informará sobre:</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a)</w:t>
      </w:r>
      <w:r w:rsidRPr="00E74967">
        <w:rPr>
          <w:rFonts w:cs="Calibri"/>
        </w:rPr>
        <w:t xml:space="preserve"> Actualización: se informará del método utilizado para la actualización del valor de los activos, pasivos y Hacienda Pública/</w:t>
      </w:r>
      <w:r w:rsidR="00657009" w:rsidRPr="00E74967">
        <w:rPr>
          <w:rFonts w:cs="Calibri"/>
        </w:rPr>
        <w:t>P</w:t>
      </w:r>
      <w:r w:rsidRPr="00E74967">
        <w:rPr>
          <w:rFonts w:cs="Calibri"/>
        </w:rPr>
        <w:t>atrimonio y las razones de dicha elección. Así como informar de la desconexión o reconexión inflacionaria:</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b)</w:t>
      </w:r>
      <w:r w:rsidRPr="00E74967">
        <w:rPr>
          <w:rFonts w:cs="Calibri"/>
        </w:rPr>
        <w:t xml:space="preserve"> Informar sobre la realización de operaciones en el extranjero y de sus efectos en la información financiera gubernamental:</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c)</w:t>
      </w:r>
      <w:r w:rsidRPr="00E74967">
        <w:rPr>
          <w:rFonts w:cs="Calibri"/>
        </w:rPr>
        <w:t xml:space="preserve"> Método de valuación de la inversión en acciones de Compañías subsidiarias no consolidadas y asociadas: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d)</w:t>
      </w:r>
      <w:r w:rsidRPr="00E74967">
        <w:rPr>
          <w:rFonts w:cs="Calibri"/>
        </w:rPr>
        <w:t xml:space="preserve"> Sistema y método de valuación de inventarios y costo de lo vendido:</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e)</w:t>
      </w:r>
      <w:r w:rsidRPr="00E74967">
        <w:rPr>
          <w:rFonts w:cs="Calibri"/>
        </w:rPr>
        <w:t xml:space="preserve"> Beneficios a empleados: revelar el cálculo de la reserva actuarial, valor presente de los ingresos esperados comparado con el valor presente de la estimación de gastos tanto de los beneficiarios actuales como futuros: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f)</w:t>
      </w:r>
      <w:r w:rsidRPr="00E74967">
        <w:rPr>
          <w:rFonts w:cs="Calibri"/>
        </w:rPr>
        <w:t xml:space="preserve"> Provisiones: objetivo de su creación, monto y plazo:</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g)</w:t>
      </w:r>
      <w:r w:rsidRPr="00E74967">
        <w:rPr>
          <w:rFonts w:cs="Calibri"/>
        </w:rPr>
        <w:t xml:space="preserve"> Reservas: objetivo de su creación, monto y plazo:</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h)</w:t>
      </w:r>
      <w:r w:rsidRPr="00E74967">
        <w:rPr>
          <w:rFonts w:cs="Calibri"/>
        </w:rPr>
        <w:t xml:space="preserve"> Cambios en políticas contables y corrección de errores junto con la revelación de los efectos que se tendrá en la información financiera del ente público, ya sea retrospectivos o prospectivos: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i)</w:t>
      </w:r>
      <w:r w:rsidRPr="00E74967">
        <w:rPr>
          <w:rFonts w:cs="Calibri"/>
        </w:rPr>
        <w:t xml:space="preserve"> Reclasificaciones: Se deben revelar todos aquellos movimientos entre cuentas por efectos de cambios en los tipos de operaciones: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j)</w:t>
      </w:r>
      <w:r w:rsidRPr="00E74967">
        <w:rPr>
          <w:rFonts w:cs="Calibri"/>
        </w:rPr>
        <w:t xml:space="preserve"> Depuración y cancelación de saldos: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w:t>
      </w:r>
      <w:r w:rsidR="00E00323" w:rsidRPr="00E74967">
        <w:rPr>
          <w:rFonts w:cs="Calibri"/>
        </w:rPr>
        <w:t>_____________________________</w:t>
      </w:r>
      <w:r w:rsidR="00657009" w:rsidRPr="00657009">
        <w:rPr>
          <w:rFonts w:cs="Calibri"/>
        </w:rPr>
        <w:t>_________________________</w:t>
      </w:r>
    </w:p>
    <w:p w:rsidR="007D1E76" w:rsidRPr="00E74967" w:rsidRDefault="007D1E76" w:rsidP="007D1E76">
      <w:pPr>
        <w:spacing w:after="0" w:line="240" w:lineRule="auto"/>
        <w:jc w:val="both"/>
        <w:rPr>
          <w:rFonts w:cs="Calibri"/>
        </w:rPr>
      </w:pPr>
    </w:p>
    <w:p w:rsidR="00E00323" w:rsidRPr="00E74967" w:rsidRDefault="00E00323"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7. Posición en Moneda Extranjera y Pro</w:t>
      </w:r>
      <w:r w:rsidR="00E00323" w:rsidRPr="00E74967">
        <w:rPr>
          <w:rFonts w:cs="Calibri"/>
          <w:b/>
        </w:rPr>
        <w:t>tección por Riesgo Cambiario:</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Se informará sobre:</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a)</w:t>
      </w:r>
      <w:r w:rsidRPr="00E74967">
        <w:rPr>
          <w:rFonts w:cs="Calibri"/>
        </w:rPr>
        <w:t xml:space="preserve"> Activos en moneda extranjera:</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b)</w:t>
      </w:r>
      <w:r w:rsidRPr="00E74967">
        <w:rPr>
          <w:rFonts w:cs="Calibri"/>
        </w:rPr>
        <w:t xml:space="preserve"> Pasivos en moneda extranjera:</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 xml:space="preserve">c) </w:t>
      </w:r>
      <w:r w:rsidRPr="00E74967">
        <w:rPr>
          <w:rFonts w:cs="Calibri"/>
        </w:rPr>
        <w:t>Posición en moneda extranjera:</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d)</w:t>
      </w:r>
      <w:r w:rsidRPr="00E74967">
        <w:rPr>
          <w:rFonts w:cs="Calibri"/>
        </w:rPr>
        <w:t xml:space="preserve"> Tipo de cambio:</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 xml:space="preserve">e) </w:t>
      </w:r>
      <w:r w:rsidRPr="00E74967">
        <w:rPr>
          <w:rFonts w:cs="Calibri"/>
        </w:rPr>
        <w:t>Equivalente en moneda nacional:</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Lo anterior por cada tipo de moneda extranjera que se encuentre en los rubros de activo y pasivo.</w:t>
      </w:r>
    </w:p>
    <w:p w:rsidR="007D1E76" w:rsidRPr="00E74967" w:rsidRDefault="007D1E76" w:rsidP="007D1E76">
      <w:pPr>
        <w:spacing w:after="0" w:line="240" w:lineRule="auto"/>
        <w:jc w:val="both"/>
        <w:rPr>
          <w:rFonts w:cs="Calibri"/>
        </w:rPr>
      </w:pPr>
      <w:r w:rsidRPr="00E74967">
        <w:rPr>
          <w:rFonts w:cs="Calibri"/>
        </w:rPr>
        <w:t>Adicionalmente se informará sobre los métodos de protección de riesgo por vari</w:t>
      </w:r>
      <w:r w:rsidR="00E00323" w:rsidRPr="00E74967">
        <w:rPr>
          <w:rFonts w:cs="Calibri"/>
        </w:rPr>
        <w:t>aciones en el tipo de cambio.</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 xml:space="preserve">8. </w:t>
      </w:r>
      <w:r w:rsidR="00E00323" w:rsidRPr="00E74967">
        <w:rPr>
          <w:rFonts w:cs="Calibri"/>
          <w:b/>
        </w:rPr>
        <w:t>Reporte Analítico del Activo:</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lastRenderedPageBreak/>
        <w:t>Debe mostrar la siguien</w:t>
      </w:r>
      <w:r w:rsidR="00E00323" w:rsidRPr="00E74967">
        <w:rPr>
          <w:rFonts w:cs="Calibri"/>
        </w:rPr>
        <w:t>te información:</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a)</w:t>
      </w:r>
      <w:r w:rsidRPr="00E74967">
        <w:rPr>
          <w:rFonts w:cs="Calibri"/>
        </w:rPr>
        <w:t xml:space="preserve"> Vida útil o porcentajes de depreciación, deterioro o amortización utilizados en los diferentes tipos de activos: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b)</w:t>
      </w:r>
      <w:r w:rsidRPr="00E74967">
        <w:rPr>
          <w:rFonts w:cs="Calibri"/>
        </w:rPr>
        <w:t xml:space="preserve"> Cambios en el porcentaje de depreciación o valor residual de los activos: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c)</w:t>
      </w:r>
      <w:r w:rsidRPr="00E74967">
        <w:rPr>
          <w:rFonts w:cs="Calibri"/>
        </w:rPr>
        <w:t xml:space="preserve"> Importe de los gastos capitalizados en el ejercicio, tanto financieros como de investigación y desarrollo:</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d)</w:t>
      </w:r>
      <w:r w:rsidRPr="00E74967">
        <w:rPr>
          <w:rFonts w:cs="Calibri"/>
        </w:rPr>
        <w:t xml:space="preserve"> Rie</w:t>
      </w:r>
      <w:r w:rsidR="001973A2" w:rsidRPr="00E74967">
        <w:rPr>
          <w:rFonts w:cs="Calibri"/>
        </w:rPr>
        <w:t>s</w:t>
      </w:r>
      <w:r w:rsidRPr="00E74967">
        <w:rPr>
          <w:rFonts w:cs="Calibri"/>
        </w:rPr>
        <w:t>gos por tipo de cambio o tipo de interés de las inversiones financieras: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 xml:space="preserve">e) </w:t>
      </w:r>
      <w:r w:rsidRPr="00E74967">
        <w:rPr>
          <w:rFonts w:cs="Calibri"/>
        </w:rPr>
        <w:t>Valor activado en el ejercicio de los bienes construidos por la entidad:</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b/>
        </w:rPr>
      </w:pPr>
    </w:p>
    <w:p w:rsidR="007D1E76" w:rsidRPr="00E74967" w:rsidRDefault="007D1E76" w:rsidP="007D1E76">
      <w:pPr>
        <w:spacing w:after="0" w:line="240" w:lineRule="auto"/>
        <w:jc w:val="both"/>
        <w:rPr>
          <w:rFonts w:cs="Calibri"/>
        </w:rPr>
      </w:pPr>
      <w:r w:rsidRPr="00E74967">
        <w:rPr>
          <w:rFonts w:cs="Calibri"/>
          <w:b/>
        </w:rPr>
        <w:t>f)</w:t>
      </w:r>
      <w:r w:rsidRPr="00E74967">
        <w:rPr>
          <w:rFonts w:cs="Calibri"/>
        </w:rPr>
        <w:t xml:space="preserve"> Otras circunstancias de carácter significativo que afecten el activo, tales como bienes en garantía, señalados en embargos, litigios, títulos de inversiones entregados en garantías, baja significativa del valor de inversiones financieras, etc.:</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g)</w:t>
      </w:r>
      <w:r w:rsidRPr="00E74967">
        <w:rPr>
          <w:rFonts w:cs="Calibri"/>
        </w:rPr>
        <w:t xml:space="preserve"> Desmantelamiento de Activos, procedimientos, implicaciones, efectos contables: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h)</w:t>
      </w:r>
      <w:r w:rsidRPr="00E74967">
        <w:rPr>
          <w:rFonts w:cs="Calibri"/>
        </w:rPr>
        <w:t xml:space="preserve"> Administración de activos; planeación con el objetivo de que el ente los utilice de manera más efectiva:</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5E231E" w:rsidRPr="00E74967" w:rsidRDefault="005E231E"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Adicionalmente, se deben incluir las explicaciones de las principales variaciones en el activo, en cua</w:t>
      </w:r>
      <w:r w:rsidR="005E231E" w:rsidRPr="00E74967">
        <w:rPr>
          <w:rFonts w:cs="Calibri"/>
        </w:rPr>
        <w:t>dros comparativos como sigue:</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a)</w:t>
      </w:r>
      <w:r w:rsidRPr="00E74967">
        <w:rPr>
          <w:rFonts w:cs="Calibri"/>
        </w:rPr>
        <w:t xml:space="preserve"> Inversiones en valores:</w:t>
      </w:r>
    </w:p>
    <w:p w:rsidR="007D1E76" w:rsidRPr="00E74967" w:rsidRDefault="007D1E76" w:rsidP="007D1E76">
      <w:pPr>
        <w:spacing w:after="0" w:line="240" w:lineRule="auto"/>
        <w:jc w:val="both"/>
        <w:rPr>
          <w:rFonts w:cs="Calibri"/>
        </w:rPr>
      </w:pPr>
      <w:r w:rsidRPr="00E74967">
        <w:rPr>
          <w:rFonts w:cs="Calibri"/>
        </w:rPr>
        <w:lastRenderedPageBreak/>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b)</w:t>
      </w:r>
      <w:r w:rsidRPr="00E74967">
        <w:rPr>
          <w:rFonts w:cs="Calibri"/>
        </w:rPr>
        <w:t xml:space="preserve"> Patrimonio de Organismos descentralizados de Control Presupuestario Indirecto:</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c)</w:t>
      </w:r>
      <w:r w:rsidRPr="00E74967">
        <w:rPr>
          <w:rFonts w:cs="Calibri"/>
        </w:rPr>
        <w:t xml:space="preserve"> Inversiones en empresas de participación mayoritaria:</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d)</w:t>
      </w:r>
      <w:r w:rsidRPr="00E74967">
        <w:rPr>
          <w:rFonts w:cs="Calibri"/>
        </w:rPr>
        <w:t xml:space="preserve"> Inversiones en empresas de participación minoritaria:</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e)</w:t>
      </w:r>
      <w:r w:rsidRPr="00E74967">
        <w:rPr>
          <w:rFonts w:cs="Calibri"/>
        </w:rPr>
        <w:t xml:space="preserve"> Patrimonio de organismos descentralizados de control presupuestario directo, según corresponda:</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9. Fidei</w:t>
      </w:r>
      <w:r w:rsidR="005E231E" w:rsidRPr="00E74967">
        <w:rPr>
          <w:rFonts w:cs="Calibri"/>
          <w:b/>
        </w:rPr>
        <w:t>comisos, Mandatos y Análogos:</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Se deberá informar:</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a)</w:t>
      </w:r>
      <w:r w:rsidRPr="00E74967">
        <w:rPr>
          <w:rFonts w:cs="Calibri"/>
        </w:rPr>
        <w:t xml:space="preserve"> Por ramo administrativo que los reporta:</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b)</w:t>
      </w:r>
      <w:r w:rsidRPr="00E74967">
        <w:rPr>
          <w:rFonts w:cs="Calibri"/>
        </w:rPr>
        <w:t xml:space="preserve"> Enlistar los de mayor monto de disponibilidad, relacionando aquéllos que conforman el 80% de las disponibilidades: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10. Reporte de la Recaudación:</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a)</w:t>
      </w:r>
      <w:r w:rsidRPr="00E74967">
        <w:rPr>
          <w:rFonts w:cs="Calibri"/>
        </w:rPr>
        <w:t xml:space="preserve"> Análisis del comportamiento de la recaudación correspondiente al ente público o cualquier tipo de ingreso, de forma separada los ingresos locales de los federales: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lastRenderedPageBreak/>
        <w:t>b)</w:t>
      </w:r>
      <w:r w:rsidRPr="00E74967">
        <w:rPr>
          <w:rFonts w:cs="Calibri"/>
        </w:rPr>
        <w:t xml:space="preserve"> Proyección de la recaudación e ingresos en el mediano plazo:</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11. Información sobre la Deuda y el R</w:t>
      </w:r>
      <w:r w:rsidR="005E231E" w:rsidRPr="00E74967">
        <w:rPr>
          <w:rFonts w:cs="Calibri"/>
          <w:b/>
        </w:rPr>
        <w:t>eporte Analítico de la Deuda:</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a)</w:t>
      </w:r>
      <w:r w:rsidRPr="00E74967">
        <w:rPr>
          <w:rFonts w:cs="Calibri"/>
        </w:rPr>
        <w:t xml:space="preserve"> Utilizar al menos los siguientes indicadores: deuda respecto al PIB y deuda respecto a la recaudación tomando, como mínimo, un período igual o menor a 5 años.</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b)</w:t>
      </w:r>
      <w:r w:rsidRPr="00E74967">
        <w:rPr>
          <w:rFonts w:cs="Calibri"/>
        </w:rPr>
        <w:t xml:space="preserve"> Información de manera agrupada por tipo de valor gubernamental o instrumento financiero en la que se considere</w:t>
      </w:r>
      <w:r w:rsidR="001973A2" w:rsidRPr="00E74967">
        <w:rPr>
          <w:rFonts w:cs="Calibri"/>
        </w:rPr>
        <w:t>n</w:t>
      </w:r>
      <w:r w:rsidRPr="00E74967">
        <w:rPr>
          <w:rFonts w:cs="Calibri"/>
        </w:rPr>
        <w:t xml:space="preserve"> intereses, comisiones, tasa, perfil de vencimiento y otros gastos de la deuda.</w:t>
      </w:r>
    </w:p>
    <w:p w:rsidR="007D1E76" w:rsidRPr="00E74967" w:rsidRDefault="007D1E76" w:rsidP="007D1E76">
      <w:pPr>
        <w:spacing w:after="0" w:line="240" w:lineRule="auto"/>
        <w:jc w:val="both"/>
        <w:rPr>
          <w:rFonts w:cs="Calibri"/>
        </w:rPr>
      </w:pPr>
      <w:r w:rsidRPr="00E74967">
        <w:rPr>
          <w:rFonts w:cs="Calibri"/>
        </w:rPr>
        <w:t>* Se anexara la informació</w:t>
      </w:r>
      <w:r w:rsidR="005E231E" w:rsidRPr="00E74967">
        <w:rPr>
          <w:rFonts w:cs="Calibri"/>
        </w:rPr>
        <w:t>n en las notas de desglose.</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12.</w:t>
      </w:r>
      <w:r w:rsidR="005E231E" w:rsidRPr="00E74967">
        <w:rPr>
          <w:rFonts w:cs="Calibri"/>
          <w:b/>
        </w:rPr>
        <w:t xml:space="preserve"> Calificaciones otorgadas:</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Informar, tanto del ente público como cualquier transacción realizada, que haya sido sujeta a una calificación crediticia:</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13. Proceso de Mejora:</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Se informará de:</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a)</w:t>
      </w:r>
      <w:r w:rsidRPr="00E74967">
        <w:rPr>
          <w:rFonts w:cs="Calibri"/>
        </w:rPr>
        <w:t xml:space="preserve"> Principales Políticas de control interno:</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w:t>
      </w:r>
      <w:bookmarkStart w:id="0" w:name="_GoBack"/>
      <w:bookmarkEnd w:id="0"/>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b/>
        </w:rPr>
        <w:t>b)</w:t>
      </w:r>
      <w:r w:rsidRPr="00E74967">
        <w:rPr>
          <w:rFonts w:cs="Calibri"/>
        </w:rPr>
        <w:t xml:space="preserve"> Medidas de desempeño financiero, metas y alcance:</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__________________________________________________</w:t>
      </w:r>
      <w:r w:rsidR="001973A2">
        <w:rPr>
          <w:rFonts w:cs="Calibri"/>
        </w:rPr>
        <w:t>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1</w:t>
      </w:r>
      <w:r w:rsidR="005E231E" w:rsidRPr="00E74967">
        <w:rPr>
          <w:rFonts w:cs="Calibri"/>
          <w:b/>
        </w:rPr>
        <w:t>4. Información por Segmentos:</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 xml:space="preserve">Cuando se considere necesario se podrá revelar la información financiera de manera segmentada debido a la diversidad de las actividades y operaciones que realizan los entes públicos, ya que la misma proporciona información acerca de las diferentes actividades operativas en las cuales participa, de los productos o </w:t>
      </w:r>
      <w:r w:rsidRPr="00E74967">
        <w:rPr>
          <w:rFonts w:cs="Calibri"/>
        </w:rPr>
        <w:lastRenderedPageBreak/>
        <w:t>servicios que maneja, de las diferentes áreas geográficas, de los grupos homogéneos con el objetivo de entender el desempeño del ente, evaluar mejor los riesgos y beneficios del mismo; y entenderlo como un todo y sus partes integrantes.</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Consecuentemente, esta información contribuye al análisis más preciso de la situación financiera, grados y fuentes de riesgo y crec</w:t>
      </w:r>
      <w:r w:rsidR="005E231E" w:rsidRPr="00E74967">
        <w:rPr>
          <w:rFonts w:cs="Calibri"/>
        </w:rPr>
        <w:t>imiento potencial de negocio.</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15. E</w:t>
      </w:r>
      <w:r w:rsidR="005E231E" w:rsidRPr="00E74967">
        <w:rPr>
          <w:rFonts w:cs="Calibri"/>
          <w:b/>
        </w:rPr>
        <w:t>ventos Posteriores al Cierre:</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El ente público informará el efecto en sus estados financieros de aquellos hechos ocurridos en el período posterior al que informa, que proporcionan mayor evidencia sobre eventos que le afectan  económicamente y que no se cono</w:t>
      </w:r>
      <w:r w:rsidR="005E231E" w:rsidRPr="00E74967">
        <w:rPr>
          <w:rFonts w:cs="Calibri"/>
        </w:rPr>
        <w:t>cían a la fecha de cierre.</w:t>
      </w:r>
      <w:r w:rsidR="005E231E" w:rsidRPr="00E74967">
        <w:rPr>
          <w:rFonts w:cs="Calibri"/>
        </w:rPr>
        <w:cr/>
      </w:r>
    </w:p>
    <w:p w:rsidR="007D1E76" w:rsidRPr="00E74967" w:rsidRDefault="007D1E76" w:rsidP="007D1E76">
      <w:pPr>
        <w:spacing w:after="0" w:line="240" w:lineRule="auto"/>
        <w:jc w:val="both"/>
        <w:rPr>
          <w:rFonts w:cs="Calibri"/>
        </w:rPr>
      </w:pPr>
    </w:p>
    <w:p w:rsidR="007D1E76" w:rsidRPr="00E74967" w:rsidRDefault="005E231E" w:rsidP="007D1E76">
      <w:pPr>
        <w:spacing w:after="0" w:line="240" w:lineRule="auto"/>
        <w:jc w:val="both"/>
        <w:rPr>
          <w:rFonts w:cs="Calibri"/>
          <w:b/>
        </w:rPr>
      </w:pPr>
      <w:r w:rsidRPr="00E74967">
        <w:rPr>
          <w:rFonts w:cs="Calibri"/>
          <w:b/>
        </w:rPr>
        <w:t>16. Partes Relacionadas:</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r w:rsidRPr="00E74967">
        <w:rPr>
          <w:rFonts w:cs="Calibri"/>
        </w:rPr>
        <w:t>Se debe establecer por escrito que no existen partes relacionadas que pudieran ejercer influencia significativa sobre la toma de decisiones financieras y operativas:</w:t>
      </w:r>
    </w:p>
    <w:p w:rsidR="007D1E76" w:rsidRPr="00E74967" w:rsidRDefault="007D1E76" w:rsidP="007D1E76">
      <w:pPr>
        <w:spacing w:after="0" w:line="240" w:lineRule="auto"/>
        <w:jc w:val="both"/>
        <w:rPr>
          <w:rFonts w:cs="Calibri"/>
        </w:rPr>
      </w:pPr>
      <w:r w:rsidRPr="00E74967">
        <w:rPr>
          <w:rFonts w:cs="Calibri"/>
        </w:rPr>
        <w:t>__________________________________________________________________________________________________________________________________________________________________________________________________________________________________________</w:t>
      </w:r>
      <w:r w:rsidR="001973A2" w:rsidRPr="001973A2">
        <w:rPr>
          <w:rFonts w:cs="Calibri"/>
        </w:rPr>
        <w:t>_________________________</w:t>
      </w: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rPr>
      </w:pPr>
    </w:p>
    <w:p w:rsidR="007D1E76" w:rsidRPr="00E74967" w:rsidRDefault="007D1E76" w:rsidP="007D1E76">
      <w:pPr>
        <w:spacing w:after="0" w:line="240" w:lineRule="auto"/>
        <w:jc w:val="both"/>
        <w:rPr>
          <w:rFonts w:cs="Calibri"/>
          <w:b/>
        </w:rPr>
      </w:pPr>
      <w:r w:rsidRPr="00E74967">
        <w:rPr>
          <w:rFonts w:cs="Calibri"/>
          <w:b/>
        </w:rPr>
        <w:t xml:space="preserve">17. </w:t>
      </w:r>
      <w:r w:rsidR="001973A2" w:rsidRPr="001973A2">
        <w:rPr>
          <w:rFonts w:cs="Calibri"/>
          <w:b/>
        </w:rPr>
        <w:t>Responsabilidad Sobre la Presentación Razonable de la Información Contable</w:t>
      </w:r>
      <w:r w:rsidR="005E231E" w:rsidRPr="00E74967">
        <w:rPr>
          <w:rFonts w:cs="Calibri"/>
          <w:b/>
        </w:rPr>
        <w:t>:</w:t>
      </w:r>
    </w:p>
    <w:p w:rsidR="007D1E76" w:rsidRPr="00E74967" w:rsidRDefault="007D1E76" w:rsidP="007D1E76">
      <w:pPr>
        <w:spacing w:after="0" w:line="240" w:lineRule="auto"/>
        <w:jc w:val="both"/>
        <w:rPr>
          <w:rFonts w:cs="Calibri"/>
        </w:rPr>
      </w:pPr>
    </w:p>
    <w:p w:rsidR="007D1E76" w:rsidRPr="00E74967" w:rsidRDefault="001973A2" w:rsidP="007D1E76">
      <w:pPr>
        <w:spacing w:after="0" w:line="240" w:lineRule="auto"/>
        <w:jc w:val="both"/>
        <w:rPr>
          <w:rFonts w:cs="Calibri"/>
        </w:rPr>
      </w:pPr>
      <w:r w:rsidRPr="001973A2">
        <w:rPr>
          <w:rFonts w:cs="Calibri"/>
        </w:rPr>
        <w:t>La Información Contable deberá estar firmada en cada página de la misma e incluir al final la siguiente leyenda: “Bajo protesta de decir verdad declaramos que los Estados Financieros y sus notas, son razonablemente correctos y son responsabilidad del emisor”. Lo anterior, no será aplicable para la información contable consolidada.</w:t>
      </w:r>
    </w:p>
    <w:p w:rsidR="007D1E76" w:rsidRPr="00E74967" w:rsidRDefault="007D1E76" w:rsidP="007D1E76">
      <w:pPr>
        <w:pBdr>
          <w:bottom w:val="single" w:sz="12" w:space="1" w:color="auto"/>
        </w:pBdr>
        <w:spacing w:after="0" w:line="240" w:lineRule="auto"/>
        <w:jc w:val="both"/>
        <w:rPr>
          <w:rFonts w:cs="Calibri"/>
        </w:rPr>
      </w:pPr>
    </w:p>
    <w:p w:rsidR="001C75F2" w:rsidRPr="00E74967" w:rsidRDefault="001C75F2" w:rsidP="007D1E76">
      <w:pPr>
        <w:spacing w:after="0" w:line="240" w:lineRule="auto"/>
        <w:jc w:val="both"/>
        <w:rPr>
          <w:rFonts w:cs="Calibri"/>
        </w:rPr>
      </w:pPr>
    </w:p>
    <w:p w:rsidR="007D1E76" w:rsidRPr="00E74967" w:rsidRDefault="005E231E" w:rsidP="007D1E76">
      <w:pPr>
        <w:jc w:val="both"/>
        <w:rPr>
          <w:rFonts w:cs="Calibri"/>
          <w:b/>
        </w:rPr>
      </w:pPr>
      <w:r w:rsidRPr="00E74967">
        <w:rPr>
          <w:rFonts w:cs="Calibri"/>
          <w:b/>
        </w:rPr>
        <w:t>Recomendaciones</w:t>
      </w:r>
    </w:p>
    <w:p w:rsidR="007D1E76" w:rsidRPr="00E74967" w:rsidRDefault="007D1E76" w:rsidP="007D1E76">
      <w:pPr>
        <w:jc w:val="both"/>
        <w:rPr>
          <w:rFonts w:cs="Calibri"/>
        </w:rPr>
      </w:pPr>
      <w:r w:rsidRPr="00E74967">
        <w:rPr>
          <w:rFonts w:cs="Calibri"/>
          <w:b/>
        </w:rPr>
        <w:t xml:space="preserve">Nota 1: Las notas de Gestión Administrativa sólo se presentarán en medio </w:t>
      </w:r>
      <w:r w:rsidR="001C75F2" w:rsidRPr="00E74967">
        <w:rPr>
          <w:rFonts w:cs="Calibri"/>
          <w:b/>
        </w:rPr>
        <w:t>digital</w:t>
      </w:r>
      <w:r w:rsidRPr="00E74967">
        <w:rPr>
          <w:rFonts w:cs="Calibri"/>
          <w:b/>
        </w:rPr>
        <w:t>, las notas que no estén contempladas en el formato se agregarán libremente al mismo.</w:t>
      </w:r>
    </w:p>
    <w:sectPr w:rsidR="007D1E76" w:rsidRPr="00E74967" w:rsidSect="00657009">
      <w:headerReference w:type="default" r:id="rId14"/>
      <w:pgSz w:w="12240" w:h="15840"/>
      <w:pgMar w:top="1418" w:right="1134" w:bottom="1134" w:left="1418" w:header="709" w:footer="709"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6C359E" w:rsidRDefault="006C359E" w:rsidP="00E00323">
      <w:pPr>
        <w:spacing w:after="0" w:line="240" w:lineRule="auto"/>
      </w:pPr>
      <w:r>
        <w:separator/>
      </w:r>
    </w:p>
  </w:endnote>
  <w:endnote w:type="continuationSeparator" w:id="0">
    <w:p w:rsidR="006C359E" w:rsidRDefault="006C359E" w:rsidP="00E0032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ourier New">
    <w:panose1 w:val="02070309020205020404"/>
    <w:charset w:val="00"/>
    <w:family w:val="modern"/>
    <w:pitch w:val="fixed"/>
    <w:sig w:usb0="E0002A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Calibri">
    <w:panose1 w:val="020F0502020204030204"/>
    <w:charset w:val="00"/>
    <w:family w:val="swiss"/>
    <w:pitch w:val="variable"/>
    <w:sig w:usb0="E00002FF" w:usb1="4000ACFF" w:usb2="00000001" w:usb3="00000000" w:csb0="0000019F" w:csb1="00000000"/>
  </w:font>
  <w:font w:name="Tahoma">
    <w:panose1 w:val="020B0604030504040204"/>
    <w:charset w:val="00"/>
    <w:family w:val="swiss"/>
    <w:pitch w:val="variable"/>
    <w:sig w:usb0="E1002EFF" w:usb1="C000605B" w:usb2="00000029" w:usb3="00000000" w:csb0="000101FF" w:csb1="00000000"/>
  </w:font>
  <w:font w:name="Calibri Light">
    <w:panose1 w:val="020F0302020204030204"/>
    <w:charset w:val="00"/>
    <w:family w:val="swiss"/>
    <w:pitch w:val="variable"/>
    <w:sig w:usb0="A00002EF" w:usb1="4000207B" w:usb2="00000000" w:usb3="00000000" w:csb0="0000019F" w:csb1="00000000"/>
  </w:font>
</w:fonts>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6C359E" w:rsidRDefault="006C359E" w:rsidP="00E00323">
      <w:pPr>
        <w:spacing w:after="0" w:line="240" w:lineRule="auto"/>
      </w:pPr>
      <w:r>
        <w:separator/>
      </w:r>
    </w:p>
  </w:footnote>
  <w:footnote w:type="continuationSeparator" w:id="0">
    <w:p w:rsidR="006C359E" w:rsidRDefault="006C359E" w:rsidP="00E0032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154BA3" w:rsidRDefault="00776C8F" w:rsidP="00154BA3">
    <w:pPr>
      <w:pStyle w:val="Encabezado"/>
      <w:jc w:val="center"/>
    </w:pPr>
    <w:r>
      <w:t>SISTEMA MUNICIPAL DE AGUA POTABLE Y ALCANTARILLADO DE URIANGATO, GTO.</w:t>
    </w: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572A246B"/>
    <w:multiLevelType w:val="hybridMultilevel"/>
    <w:tmpl w:val="A1362B1A"/>
    <w:lvl w:ilvl="0" w:tplc="080A0009">
      <w:start w:val="1"/>
      <w:numFmt w:val="bullet"/>
      <w:lvlText w:val=""/>
      <w:lvlJc w:val="left"/>
      <w:pPr>
        <w:ind w:left="720" w:hanging="360"/>
      </w:pPr>
      <w:rPr>
        <w:rFonts w:ascii="Wingdings" w:hAnsi="Wingdings" w:hint="default"/>
      </w:rPr>
    </w:lvl>
    <w:lvl w:ilvl="1" w:tplc="080A0003" w:tentative="1">
      <w:start w:val="1"/>
      <w:numFmt w:val="bullet"/>
      <w:lvlText w:val="o"/>
      <w:lvlJc w:val="left"/>
      <w:pPr>
        <w:ind w:left="1440" w:hanging="360"/>
      </w:pPr>
      <w:rPr>
        <w:rFonts w:ascii="Courier New" w:hAnsi="Courier New" w:cs="Courier New" w:hint="default"/>
      </w:rPr>
    </w:lvl>
    <w:lvl w:ilvl="2" w:tplc="080A0005" w:tentative="1">
      <w:start w:val="1"/>
      <w:numFmt w:val="bullet"/>
      <w:lvlText w:val=""/>
      <w:lvlJc w:val="left"/>
      <w:pPr>
        <w:ind w:left="2160" w:hanging="360"/>
      </w:pPr>
      <w:rPr>
        <w:rFonts w:ascii="Wingdings" w:hAnsi="Wingdings" w:hint="default"/>
      </w:rPr>
    </w:lvl>
    <w:lvl w:ilvl="3" w:tplc="080A0001" w:tentative="1">
      <w:start w:val="1"/>
      <w:numFmt w:val="bullet"/>
      <w:lvlText w:val=""/>
      <w:lvlJc w:val="left"/>
      <w:pPr>
        <w:ind w:left="2880" w:hanging="360"/>
      </w:pPr>
      <w:rPr>
        <w:rFonts w:ascii="Symbol" w:hAnsi="Symbol" w:hint="default"/>
      </w:rPr>
    </w:lvl>
    <w:lvl w:ilvl="4" w:tplc="080A0003" w:tentative="1">
      <w:start w:val="1"/>
      <w:numFmt w:val="bullet"/>
      <w:lvlText w:val="o"/>
      <w:lvlJc w:val="left"/>
      <w:pPr>
        <w:ind w:left="3600" w:hanging="360"/>
      </w:pPr>
      <w:rPr>
        <w:rFonts w:ascii="Courier New" w:hAnsi="Courier New" w:cs="Courier New" w:hint="default"/>
      </w:rPr>
    </w:lvl>
    <w:lvl w:ilvl="5" w:tplc="080A0005" w:tentative="1">
      <w:start w:val="1"/>
      <w:numFmt w:val="bullet"/>
      <w:lvlText w:val=""/>
      <w:lvlJc w:val="left"/>
      <w:pPr>
        <w:ind w:left="4320" w:hanging="360"/>
      </w:pPr>
      <w:rPr>
        <w:rFonts w:ascii="Wingdings" w:hAnsi="Wingdings" w:hint="default"/>
      </w:rPr>
    </w:lvl>
    <w:lvl w:ilvl="6" w:tplc="080A0001" w:tentative="1">
      <w:start w:val="1"/>
      <w:numFmt w:val="bullet"/>
      <w:lvlText w:val=""/>
      <w:lvlJc w:val="left"/>
      <w:pPr>
        <w:ind w:left="5040" w:hanging="360"/>
      </w:pPr>
      <w:rPr>
        <w:rFonts w:ascii="Symbol" w:hAnsi="Symbol" w:hint="default"/>
      </w:rPr>
    </w:lvl>
    <w:lvl w:ilvl="7" w:tplc="080A0003" w:tentative="1">
      <w:start w:val="1"/>
      <w:numFmt w:val="bullet"/>
      <w:lvlText w:val="o"/>
      <w:lvlJc w:val="left"/>
      <w:pPr>
        <w:ind w:left="5760" w:hanging="360"/>
      </w:pPr>
      <w:rPr>
        <w:rFonts w:ascii="Courier New" w:hAnsi="Courier New" w:cs="Courier New" w:hint="default"/>
      </w:rPr>
    </w:lvl>
    <w:lvl w:ilvl="8" w:tplc="080A0005" w:tentative="1">
      <w:start w:val="1"/>
      <w:numFmt w:val="bullet"/>
      <w:lvlText w:val=""/>
      <w:lvlJc w:val="left"/>
      <w:pPr>
        <w:ind w:left="6480" w:hanging="360"/>
      </w:pPr>
      <w:rPr>
        <w:rFonts w:ascii="Wingdings" w:hAnsi="Wingdings" w:hint="default"/>
      </w:rPr>
    </w:lvl>
  </w:abstractNum>
  <w:num w:numId="1">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10"/>
  <w:proofState w:spelling="clean" w:grammar="clean"/>
  <w:defaultTabStop w:val="708"/>
  <w:hyphenationZone w:val="425"/>
  <w:characterSpacingControl w:val="doNotCompress"/>
  <w:hdrShapeDefaults>
    <o:shapedefaults v:ext="edit" spidmax="2049"/>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7D1E76"/>
    <w:rsid w:val="000A6CAA"/>
    <w:rsid w:val="000B7810"/>
    <w:rsid w:val="000E4772"/>
    <w:rsid w:val="00154BA3"/>
    <w:rsid w:val="001973A2"/>
    <w:rsid w:val="001C75F2"/>
    <w:rsid w:val="001D2063"/>
    <w:rsid w:val="002432EA"/>
    <w:rsid w:val="003429BE"/>
    <w:rsid w:val="004C0E86"/>
    <w:rsid w:val="005D3E43"/>
    <w:rsid w:val="005E231E"/>
    <w:rsid w:val="00657009"/>
    <w:rsid w:val="00681C79"/>
    <w:rsid w:val="006C359E"/>
    <w:rsid w:val="007714AB"/>
    <w:rsid w:val="00776C8F"/>
    <w:rsid w:val="007D1E76"/>
    <w:rsid w:val="008E076C"/>
    <w:rsid w:val="009E751D"/>
    <w:rsid w:val="00E00323"/>
    <w:rsid w:val="00E74967"/>
    <w:rsid w:val="00EA7915"/>
    <w:rsid w:val="00F94818"/>
  </w:rsids>
  <m:mathPr>
    <m:mathFont m:val="Cambria Math"/>
    <m:brkBin m:val="before"/>
    <m:brkBinSub m:val="--"/>
    <m:smallFrac m:val="0"/>
    <m:dispDef/>
    <m:lMargin m:val="0"/>
    <m:rMargin m:val="0"/>
    <m:defJc m:val="centerGroup"/>
    <m:wrapIndent m:val="1440"/>
    <m:intLim m:val="subSup"/>
    <m:naryLim m:val="undOvr"/>
  </m:mathPr>
  <w:themeFontLang w:val="es-MX"/>
  <w:clrSchemeMapping w:bg1="light1" w:t1="dark1" w:bg2="light2" w:t2="dark2" w:accent1="accent1" w:accent2="accent2" w:accent3="accent3" w:accent4="accent4" w:accent5="accent5" w:accent6="accent6" w:hyperlink="hyperlink" w:followedHyperlink="followedHyperlink"/>
  <w:shapeDefaults>
    <o:shapedefaults v:ext="edit" spidmax="2049"/>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1E76"/>
    <w:pPr>
      <w:spacing w:after="200" w:line="276" w:lineRule="auto"/>
    </w:pPr>
    <w:rPr>
      <w:sz w:val="22"/>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D1E76"/>
    <w:pPr>
      <w:ind w:left="720"/>
      <w:contextualSpacing/>
    </w:pPr>
  </w:style>
  <w:style w:type="character" w:styleId="Hipervnculo">
    <w:name w:val="Hyperlink"/>
    <w:uiPriority w:val="99"/>
    <w:unhideWhenUsed/>
    <w:rsid w:val="007D1E76"/>
    <w:rPr>
      <w:color w:val="0000FF"/>
      <w:u w:val="single"/>
    </w:rPr>
  </w:style>
  <w:style w:type="paragraph" w:styleId="Encabezado">
    <w:name w:val="header"/>
    <w:basedOn w:val="Normal"/>
    <w:link w:val="EncabezadoCar"/>
    <w:uiPriority w:val="99"/>
    <w:unhideWhenUsed/>
    <w:rsid w:val="00E00323"/>
    <w:pPr>
      <w:tabs>
        <w:tab w:val="center" w:pos="4419"/>
        <w:tab w:val="right" w:pos="8838"/>
      </w:tabs>
    </w:pPr>
  </w:style>
  <w:style w:type="character" w:customStyle="1" w:styleId="EncabezadoCar">
    <w:name w:val="Encabezado Car"/>
    <w:link w:val="Encabezado"/>
    <w:uiPriority w:val="99"/>
    <w:rsid w:val="00E00323"/>
    <w:rPr>
      <w:sz w:val="22"/>
      <w:szCs w:val="22"/>
      <w:lang w:eastAsia="en-US"/>
    </w:rPr>
  </w:style>
  <w:style w:type="paragraph" w:styleId="Piedepgina">
    <w:name w:val="footer"/>
    <w:basedOn w:val="Normal"/>
    <w:link w:val="PiedepginaCar"/>
    <w:uiPriority w:val="99"/>
    <w:unhideWhenUsed/>
    <w:rsid w:val="00E00323"/>
    <w:pPr>
      <w:tabs>
        <w:tab w:val="center" w:pos="4419"/>
        <w:tab w:val="right" w:pos="8838"/>
      </w:tabs>
    </w:pPr>
  </w:style>
  <w:style w:type="character" w:customStyle="1" w:styleId="PiedepginaCar">
    <w:name w:val="Pie de página Car"/>
    <w:link w:val="Piedepgina"/>
    <w:uiPriority w:val="99"/>
    <w:rsid w:val="00E00323"/>
    <w:rPr>
      <w:sz w:val="22"/>
      <w:szCs w:val="22"/>
      <w:lang w:eastAsia="en-US"/>
    </w:rPr>
  </w:style>
  <w:style w:type="paragraph" w:styleId="Textodeglobo">
    <w:name w:val="Balloon Text"/>
    <w:basedOn w:val="Normal"/>
    <w:link w:val="TextodegloboCar"/>
    <w:uiPriority w:val="99"/>
    <w:semiHidden/>
    <w:unhideWhenUsed/>
    <w:rsid w:val="00E00323"/>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E00323"/>
    <w:rPr>
      <w:rFonts w:ascii="Tahoma" w:hAnsi="Tahoma" w:cs="Tahoma"/>
      <w:sz w:val="16"/>
      <w:szCs w:val="16"/>
      <w:lang w:eastAsia="en-US"/>
    </w:rPr>
  </w:style>
  <w:style w:type="paragraph" w:styleId="NormalWeb">
    <w:name w:val="Normal (Web)"/>
    <w:basedOn w:val="Normal"/>
    <w:uiPriority w:val="99"/>
    <w:unhideWhenUsed/>
    <w:rsid w:val="00E00323"/>
    <w:pPr>
      <w:spacing w:before="100" w:beforeAutospacing="1" w:after="100" w:afterAutospacing="1" w:line="240" w:lineRule="auto"/>
    </w:pPr>
    <w:rPr>
      <w:rFonts w:ascii="Times New Roman" w:eastAsia="Times New Roman" w:hAnsi="Times New Roman"/>
      <w:sz w:val="24"/>
      <w:szCs w:val="24"/>
      <w:lang w:eastAsia="es-MX"/>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es-MX" w:eastAsia="es-MX" w:bidi="ar-SA"/>
      </w:rPr>
    </w:rPrDefault>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al">
    <w:name w:val="Normal"/>
    <w:qFormat/>
    <w:rsid w:val="007D1E76"/>
    <w:pPr>
      <w:spacing w:after="200" w:line="276" w:lineRule="auto"/>
    </w:pPr>
    <w:rPr>
      <w:sz w:val="22"/>
      <w:szCs w:val="22"/>
      <w:lang w:eastAsia="en-US"/>
    </w:rPr>
  </w:style>
  <w:style w:type="character" w:default="1" w:styleId="Fuentedeprrafopredeter">
    <w:name w:val="Default Paragraph Font"/>
    <w:uiPriority w:val="1"/>
    <w:semiHidden/>
    <w:unhideWhenUsed/>
  </w:style>
  <w:style w:type="table" w:default="1" w:styleId="Tablanormal">
    <w:name w:val="Normal Table"/>
    <w:uiPriority w:val="99"/>
    <w:semiHidden/>
    <w:unhideWhenUsed/>
    <w:tblPr>
      <w:tblInd w:w="0" w:type="dxa"/>
      <w:tblCellMar>
        <w:top w:w="0" w:type="dxa"/>
        <w:left w:w="108" w:type="dxa"/>
        <w:bottom w:w="0" w:type="dxa"/>
        <w:right w:w="108" w:type="dxa"/>
      </w:tblCellMar>
    </w:tblPr>
  </w:style>
  <w:style w:type="numbering" w:default="1" w:styleId="Sinlista">
    <w:name w:val="No List"/>
    <w:uiPriority w:val="99"/>
    <w:semiHidden/>
    <w:unhideWhenUsed/>
  </w:style>
  <w:style w:type="paragraph" w:styleId="Prrafodelista">
    <w:name w:val="List Paragraph"/>
    <w:basedOn w:val="Normal"/>
    <w:uiPriority w:val="34"/>
    <w:qFormat/>
    <w:rsid w:val="007D1E76"/>
    <w:pPr>
      <w:ind w:left="720"/>
      <w:contextualSpacing/>
    </w:pPr>
  </w:style>
  <w:style w:type="character" w:styleId="Hipervnculo">
    <w:name w:val="Hyperlink"/>
    <w:uiPriority w:val="99"/>
    <w:unhideWhenUsed/>
    <w:rsid w:val="007D1E76"/>
    <w:rPr>
      <w:color w:val="0000FF"/>
      <w:u w:val="single"/>
    </w:rPr>
  </w:style>
  <w:style w:type="paragraph" w:styleId="Encabezado">
    <w:name w:val="header"/>
    <w:basedOn w:val="Normal"/>
    <w:link w:val="EncabezadoCar"/>
    <w:uiPriority w:val="99"/>
    <w:unhideWhenUsed/>
    <w:rsid w:val="00E00323"/>
    <w:pPr>
      <w:tabs>
        <w:tab w:val="center" w:pos="4419"/>
        <w:tab w:val="right" w:pos="8838"/>
      </w:tabs>
    </w:pPr>
  </w:style>
  <w:style w:type="character" w:customStyle="1" w:styleId="EncabezadoCar">
    <w:name w:val="Encabezado Car"/>
    <w:link w:val="Encabezado"/>
    <w:uiPriority w:val="99"/>
    <w:rsid w:val="00E00323"/>
    <w:rPr>
      <w:sz w:val="22"/>
      <w:szCs w:val="22"/>
      <w:lang w:eastAsia="en-US"/>
    </w:rPr>
  </w:style>
  <w:style w:type="paragraph" w:styleId="Piedepgina">
    <w:name w:val="footer"/>
    <w:basedOn w:val="Normal"/>
    <w:link w:val="PiedepginaCar"/>
    <w:uiPriority w:val="99"/>
    <w:unhideWhenUsed/>
    <w:rsid w:val="00E00323"/>
    <w:pPr>
      <w:tabs>
        <w:tab w:val="center" w:pos="4419"/>
        <w:tab w:val="right" w:pos="8838"/>
      </w:tabs>
    </w:pPr>
  </w:style>
  <w:style w:type="character" w:customStyle="1" w:styleId="PiedepginaCar">
    <w:name w:val="Pie de página Car"/>
    <w:link w:val="Piedepgina"/>
    <w:uiPriority w:val="99"/>
    <w:rsid w:val="00E00323"/>
    <w:rPr>
      <w:sz w:val="22"/>
      <w:szCs w:val="22"/>
      <w:lang w:eastAsia="en-US"/>
    </w:rPr>
  </w:style>
  <w:style w:type="paragraph" w:styleId="Textodeglobo">
    <w:name w:val="Balloon Text"/>
    <w:basedOn w:val="Normal"/>
    <w:link w:val="TextodegloboCar"/>
    <w:uiPriority w:val="99"/>
    <w:semiHidden/>
    <w:unhideWhenUsed/>
    <w:rsid w:val="00E00323"/>
    <w:pPr>
      <w:spacing w:after="0" w:line="240" w:lineRule="auto"/>
    </w:pPr>
    <w:rPr>
      <w:rFonts w:ascii="Tahoma" w:hAnsi="Tahoma" w:cs="Tahoma"/>
      <w:sz w:val="16"/>
      <w:szCs w:val="16"/>
    </w:rPr>
  </w:style>
  <w:style w:type="character" w:customStyle="1" w:styleId="TextodegloboCar">
    <w:name w:val="Texto de globo Car"/>
    <w:link w:val="Textodeglobo"/>
    <w:uiPriority w:val="99"/>
    <w:semiHidden/>
    <w:rsid w:val="00E00323"/>
    <w:rPr>
      <w:rFonts w:ascii="Tahoma" w:hAnsi="Tahoma" w:cs="Tahoma"/>
      <w:sz w:val="16"/>
      <w:szCs w:val="16"/>
      <w:lang w:eastAsia="en-US"/>
    </w:rPr>
  </w:style>
  <w:style w:type="paragraph" w:styleId="NormalWeb">
    <w:name w:val="Normal (Web)"/>
    <w:basedOn w:val="Normal"/>
    <w:uiPriority w:val="99"/>
    <w:unhideWhenUsed/>
    <w:rsid w:val="00E00323"/>
    <w:pPr>
      <w:spacing w:before="100" w:beforeAutospacing="1" w:after="100" w:afterAutospacing="1" w:line="240" w:lineRule="auto"/>
    </w:pPr>
    <w:rPr>
      <w:rFonts w:ascii="Times New Roman" w:eastAsia="Times New Roman" w:hAnsi="Times New Roman"/>
      <w:sz w:val="24"/>
      <w:szCs w:val="24"/>
      <w:lang w:eastAsia="es-MX"/>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allowPNG/>
</w:webSettings>
</file>

<file path=word/_rels/document.xml.rels><?xml version="1.0" encoding="UTF-8" standalone="yes"?>
<Relationships xmlns="http://schemas.openxmlformats.org/package/2006/relationships"><Relationship Id="rId8" Type="http://schemas.openxmlformats.org/officeDocument/2006/relationships/hyperlink" Target="file:///\\ofsfileserver12\..\..\lquiroz\AppData\Local\Microsoft\Windows\Temporary%20Internet%20Files\Content.Outlook\HBGSO9P3\MODELO%20CTA%202013.pptx" TargetMode="External"/><Relationship Id="rId13" Type="http://schemas.openxmlformats.org/officeDocument/2006/relationships/image" Target="media/image5.emf"/><Relationship Id="rId3" Type="http://schemas.microsoft.com/office/2007/relationships/stylesWithEffects" Target="stylesWithEffects.xml"/><Relationship Id="rId7" Type="http://schemas.openxmlformats.org/officeDocument/2006/relationships/endnotes" Target="endnotes.xml"/><Relationship Id="rId12" Type="http://schemas.openxmlformats.org/officeDocument/2006/relationships/image" Target="media/image4.emf"/><Relationship Id="rId2" Type="http://schemas.openxmlformats.org/officeDocument/2006/relationships/styles" Target="styles.xml"/><Relationship Id="rId16" Type="http://schemas.openxmlformats.org/officeDocument/2006/relationships/theme" Target="theme/theme1.xml"/><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3.emf"/><Relationship Id="rId5" Type="http://schemas.openxmlformats.org/officeDocument/2006/relationships/webSettings" Target="webSettings.xml"/><Relationship Id="rId15" Type="http://schemas.openxmlformats.org/officeDocument/2006/relationships/fontTable" Target="fontTable.xml"/><Relationship Id="rId10" Type="http://schemas.openxmlformats.org/officeDocument/2006/relationships/image" Target="media/image2.emf"/><Relationship Id="rId4" Type="http://schemas.openxmlformats.org/officeDocument/2006/relationships/settings" Target="settings.xml"/><Relationship Id="rId9" Type="http://schemas.openxmlformats.org/officeDocument/2006/relationships/image" Target="media/image1.emf"/><Relationship Id="rId14" Type="http://schemas.openxmlformats.org/officeDocument/2006/relationships/header" Target="header1.xml"/></Relationships>
</file>

<file path=word/theme/theme1.xml><?xml version="1.0" encoding="utf-8"?>
<a:theme xmlns:a="http://schemas.openxmlformats.org/drawingml/2006/main" name="Tema de Office">
  <a:themeElements>
    <a:clrScheme name="Office">
      <a:dk1>
        <a:sysClr val="windowText" lastClr="000000"/>
      </a:dk1>
      <a:lt1>
        <a:sysClr val="window" lastClr="FFFFFF"/>
      </a:lt1>
      <a:dk2>
        <a:srgbClr val="44546A"/>
      </a:dk2>
      <a:lt2>
        <a:srgbClr val="E7E6E6"/>
      </a:lt2>
      <a:accent1>
        <a:srgbClr val="5B9BD5"/>
      </a:accent1>
      <a:accent2>
        <a:srgbClr val="ED7D31"/>
      </a:accent2>
      <a:accent3>
        <a:srgbClr val="A5A5A5"/>
      </a:accent3>
      <a:accent4>
        <a:srgbClr val="FFC000"/>
      </a:accent4>
      <a:accent5>
        <a:srgbClr val="4472C4"/>
      </a:accent5>
      <a:accent6>
        <a:srgbClr val="70AD47"/>
      </a:accent6>
      <a:hlink>
        <a:srgbClr val="0563C1"/>
      </a:hlink>
      <a:folHlink>
        <a:srgbClr val="954F72"/>
      </a:folHlink>
    </a:clrScheme>
    <a:fontScheme name="Office">
      <a:majorFont>
        <a:latin typeface="Calibri Light"/>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 xmlns:thm15="http://schemas.microsoft.com/office/thememl/2012/main" name="Office Theme" id="{62F939B6-93AF-4DB8-9C6B-D6C7DFDC589F}" vid="{4A3C46E8-61CC-4603-A589-7422A47A8E4A}"/>
    </a:ext>
  </a:extLst>
</a:theme>
</file>

<file path=docProps/app.xml><?xml version="1.0" encoding="utf-8"?>
<Properties xmlns="http://schemas.openxmlformats.org/officeDocument/2006/extended-properties" xmlns:vt="http://schemas.openxmlformats.org/officeDocument/2006/docPropsVTypes">
  <Template>Normal</Template>
  <TotalTime>8</TotalTime>
  <Pages>11</Pages>
  <Words>3481</Words>
  <Characters>19146</Characters>
  <Application>Microsoft Office Word</Application>
  <DocSecurity>0</DocSecurity>
  <Lines>159</Lines>
  <Paragraphs>45</Paragraphs>
  <ScaleCrop>false</ScaleCrop>
  <HeadingPairs>
    <vt:vector size="2" baseType="variant">
      <vt:variant>
        <vt:lpstr>Título</vt:lpstr>
      </vt:variant>
      <vt:variant>
        <vt:i4>1</vt:i4>
      </vt:variant>
    </vt:vector>
  </HeadingPairs>
  <TitlesOfParts>
    <vt:vector size="1" baseType="lpstr">
      <vt:lpstr/>
    </vt:vector>
  </TitlesOfParts>
  <Company>HP</Company>
  <LinksUpToDate>false</LinksUpToDate>
  <CharactersWithSpaces>22582</CharactersWithSpaces>
  <SharedDoc>false</SharedDoc>
  <HLinks>
    <vt:vector size="6" baseType="variant">
      <vt:variant>
        <vt:i4>6357108</vt:i4>
      </vt:variant>
      <vt:variant>
        <vt:i4>0</vt:i4>
      </vt:variant>
      <vt:variant>
        <vt:i4>0</vt:i4>
      </vt:variant>
      <vt:variant>
        <vt:i4>5</vt:i4>
      </vt:variant>
      <vt:variant>
        <vt:lpwstr>../../../../../../../../lquiroz/AppData/Local/Microsoft/Windows/Temporary Internet Files/Content.Outlook/HBGSO9P3/MODELO CTA 2013.pptx</vt:lpwstr>
      </vt:variant>
      <vt:variant>
        <vt:lpwstr/>
      </vt:variant>
    </vt:vector>
  </HLinks>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acorona</dc:creator>
  <cp:keywords/>
  <cp:lastModifiedBy>Angel</cp:lastModifiedBy>
  <cp:revision>5</cp:revision>
  <dcterms:created xsi:type="dcterms:W3CDTF">2016-03-08T21:39:00Z</dcterms:created>
  <dcterms:modified xsi:type="dcterms:W3CDTF">2016-05-04T02:34:00Z</dcterms:modified>
</cp:coreProperties>
</file>